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31F20" w14:textId="20961005" w:rsidR="00D320A2" w:rsidRPr="00B83DB9" w:rsidRDefault="00B83DB9" w:rsidP="00B83DB9">
      <w:pPr>
        <w:tabs>
          <w:tab w:val="left" w:pos="284"/>
        </w:tabs>
        <w:spacing w:line="240" w:lineRule="auto"/>
        <w:jc w:val="right"/>
        <w:rPr>
          <w:sz w:val="20"/>
          <w:szCs w:val="20"/>
        </w:rPr>
      </w:pPr>
      <w:r w:rsidRPr="00B83DB9">
        <w:rPr>
          <w:sz w:val="20"/>
          <w:szCs w:val="20"/>
        </w:rPr>
        <w:t>please cite published version:</w:t>
      </w:r>
    </w:p>
    <w:p w14:paraId="37F165C3" w14:textId="581624FC" w:rsidR="00B83DB9" w:rsidRPr="00B83DB9" w:rsidRDefault="00B83DB9" w:rsidP="00B83DB9">
      <w:pPr>
        <w:tabs>
          <w:tab w:val="left" w:pos="284"/>
        </w:tabs>
        <w:spacing w:line="240" w:lineRule="auto"/>
        <w:jc w:val="right"/>
        <w:rPr>
          <w:sz w:val="20"/>
          <w:szCs w:val="20"/>
        </w:rPr>
      </w:pPr>
      <w:r w:rsidRPr="00B83DB9">
        <w:rPr>
          <w:sz w:val="20"/>
          <w:szCs w:val="20"/>
        </w:rPr>
        <w:t xml:space="preserve">in Tim Dare and Christine Swanton (eds), </w:t>
      </w:r>
      <w:r w:rsidRPr="00B83DB9">
        <w:rPr>
          <w:i/>
          <w:sz w:val="20"/>
          <w:szCs w:val="20"/>
        </w:rPr>
        <w:t>The Ethics of Professional Roles</w:t>
      </w:r>
      <w:r w:rsidRPr="00B83DB9">
        <w:rPr>
          <w:sz w:val="20"/>
          <w:szCs w:val="20"/>
        </w:rPr>
        <w:t xml:space="preserve"> </w:t>
      </w:r>
      <w:r>
        <w:rPr>
          <w:sz w:val="20"/>
          <w:szCs w:val="20"/>
        </w:rPr>
        <w:br/>
      </w:r>
      <w:r w:rsidRPr="00B83DB9">
        <w:rPr>
          <w:sz w:val="20"/>
          <w:szCs w:val="20"/>
        </w:rPr>
        <w:t>(New York: Routledge, 2019), pp. 173-93.</w:t>
      </w:r>
    </w:p>
    <w:p w14:paraId="5D139C86" w14:textId="77777777" w:rsidR="00B83DB9" w:rsidRDefault="00B83DB9" w:rsidP="00D83124">
      <w:pPr>
        <w:tabs>
          <w:tab w:val="left" w:pos="284"/>
        </w:tabs>
        <w:jc w:val="center"/>
        <w:rPr>
          <w:b/>
          <w:sz w:val="28"/>
          <w:szCs w:val="28"/>
        </w:rPr>
      </w:pPr>
    </w:p>
    <w:p w14:paraId="537BF0BF" w14:textId="6495ACD0" w:rsidR="00315A16" w:rsidRDefault="000A2BB9" w:rsidP="00D83124">
      <w:pPr>
        <w:tabs>
          <w:tab w:val="left" w:pos="284"/>
        </w:tabs>
        <w:jc w:val="center"/>
        <w:rPr>
          <w:b/>
          <w:sz w:val="28"/>
          <w:szCs w:val="28"/>
        </w:rPr>
      </w:pPr>
      <w:r>
        <w:rPr>
          <w:b/>
          <w:sz w:val="28"/>
          <w:szCs w:val="28"/>
        </w:rPr>
        <w:t>Deliberative Restriction</w:t>
      </w:r>
      <w:r w:rsidR="00315A16">
        <w:rPr>
          <w:b/>
          <w:sz w:val="28"/>
          <w:szCs w:val="28"/>
        </w:rPr>
        <w:t xml:space="preserve"> and Professional Roles</w:t>
      </w:r>
    </w:p>
    <w:p w14:paraId="54CFC0D4" w14:textId="77777777" w:rsidR="00315A16" w:rsidRDefault="00315A16" w:rsidP="00D83124">
      <w:pPr>
        <w:tabs>
          <w:tab w:val="left" w:pos="284"/>
        </w:tabs>
        <w:jc w:val="center"/>
      </w:pPr>
      <w:r>
        <w:t xml:space="preserve">Garrett </w:t>
      </w:r>
      <w:proofErr w:type="spellStart"/>
      <w:r>
        <w:t>Cullity</w:t>
      </w:r>
      <w:proofErr w:type="spellEnd"/>
    </w:p>
    <w:p w14:paraId="5372552F" w14:textId="77777777" w:rsidR="00315A16" w:rsidRDefault="00315A16" w:rsidP="00D83124">
      <w:pPr>
        <w:tabs>
          <w:tab w:val="left" w:pos="284"/>
        </w:tabs>
      </w:pPr>
    </w:p>
    <w:p w14:paraId="64C22D1B" w14:textId="144A7450" w:rsidR="003E0185" w:rsidRDefault="005115C4" w:rsidP="00D83124">
      <w:pPr>
        <w:tabs>
          <w:tab w:val="left" w:pos="284"/>
        </w:tabs>
      </w:pPr>
      <w:r>
        <w:t xml:space="preserve">When </w:t>
      </w:r>
      <w:r w:rsidR="002F0526">
        <w:t>you act</w:t>
      </w:r>
      <w:r>
        <w:t xml:space="preserve"> in a professional </w:t>
      </w:r>
      <w:r w:rsidR="00AF6B0A">
        <w:t>capacity</w:t>
      </w:r>
      <w:r>
        <w:t xml:space="preserve">, </w:t>
      </w:r>
      <w:r w:rsidR="002F0526">
        <w:t>this</w:t>
      </w:r>
      <w:r>
        <w:t xml:space="preserve"> can restrict </w:t>
      </w:r>
      <w:r w:rsidR="00154400">
        <w:t>what</w:t>
      </w:r>
      <w:r>
        <w:t xml:space="preserve"> </w:t>
      </w:r>
      <w:r w:rsidR="002F0526">
        <w:t>properly</w:t>
      </w:r>
      <w:r>
        <w:t xml:space="preserve"> feature</w:t>
      </w:r>
      <w:r w:rsidR="00154400">
        <w:t>s in the deliberation that guides your action</w:t>
      </w:r>
      <w:r>
        <w:t xml:space="preserve">. </w:t>
      </w:r>
      <w:r w:rsidR="000975B1">
        <w:t>If you are a</w:t>
      </w:r>
      <w:r w:rsidR="009F14DE">
        <w:t xml:space="preserve"> paramedic</w:t>
      </w:r>
      <w:r w:rsidR="000975B1">
        <w:t>, you</w:t>
      </w:r>
      <w:r w:rsidR="009F14DE">
        <w:t xml:space="preserve"> should concentrate on performing accurate first aid procedures, and not dwell on </w:t>
      </w:r>
      <w:r w:rsidR="000975B1">
        <w:t>your</w:t>
      </w:r>
      <w:r w:rsidR="009F14DE">
        <w:t xml:space="preserve"> </w:t>
      </w:r>
      <w:r w:rsidR="003040C1">
        <w:t>patient’s</w:t>
      </w:r>
      <w:r w:rsidR="009F14DE">
        <w:t xml:space="preserve"> distress. </w:t>
      </w:r>
      <w:r w:rsidR="00B9799D">
        <w:t>If you are a member of an appointment</w:t>
      </w:r>
      <w:r>
        <w:t xml:space="preserve"> co</w:t>
      </w:r>
      <w:r w:rsidR="002F0526">
        <w:t>mmittee</w:t>
      </w:r>
      <w:r w:rsidR="00B9799D">
        <w:t>, your deliberation</w:t>
      </w:r>
      <w:r w:rsidR="009F14DE">
        <w:t xml:space="preserve"> </w:t>
      </w:r>
      <w:r w:rsidR="003040C1">
        <w:t xml:space="preserve">in ranking </w:t>
      </w:r>
      <w:r w:rsidR="00154400">
        <w:t xml:space="preserve">the </w:t>
      </w:r>
      <w:r w:rsidR="003040C1">
        <w:t xml:space="preserve">candidates </w:t>
      </w:r>
      <w:r w:rsidR="00154400">
        <w:t>should focus on</w:t>
      </w:r>
      <w:r w:rsidR="002F0526">
        <w:t xml:space="preserve"> assessing </w:t>
      </w:r>
      <w:r>
        <w:t>the</w:t>
      </w:r>
      <w:r w:rsidR="003040C1">
        <w:t>ir</w:t>
      </w:r>
      <w:r>
        <w:t xml:space="preserve"> </w:t>
      </w:r>
      <w:r w:rsidR="003D5E0F">
        <w:t>qualifications</w:t>
      </w:r>
      <w:r w:rsidR="00154400">
        <w:t>, not on how they will react to your decision</w:t>
      </w:r>
      <w:r w:rsidR="009F14DE">
        <w:t xml:space="preserve">. </w:t>
      </w:r>
      <w:r w:rsidR="003040C1">
        <w:t xml:space="preserve">And </w:t>
      </w:r>
      <w:r w:rsidR="00B9799D">
        <w:t>if you have been appointed as a</w:t>
      </w:r>
      <w:r w:rsidR="003040C1">
        <w:t xml:space="preserve"> </w:t>
      </w:r>
      <w:r w:rsidR="003E0185">
        <w:t xml:space="preserve">teacher </w:t>
      </w:r>
      <w:r w:rsidR="00B9799D">
        <w:t>of</w:t>
      </w:r>
      <w:r w:rsidR="003E0185">
        <w:t xml:space="preserve"> </w:t>
      </w:r>
      <w:r w:rsidR="003040C1">
        <w:t>Philosophy</w:t>
      </w:r>
      <w:r w:rsidR="000975B1">
        <w:t xml:space="preserve">, </w:t>
      </w:r>
      <w:r w:rsidR="003D5E0F">
        <w:t>your teaching should</w:t>
      </w:r>
      <w:r w:rsidR="000975B1">
        <w:t xml:space="preserve"> be guided by deliberation </w:t>
      </w:r>
      <w:r w:rsidR="00B9799D">
        <w:t xml:space="preserve">concerning what will best educate your students </w:t>
      </w:r>
      <w:r w:rsidR="000975B1">
        <w:t>about Philosophy, not some other interesting subject</w:t>
      </w:r>
      <w:r w:rsidR="003E0185">
        <w:t>.</w:t>
      </w:r>
    </w:p>
    <w:p w14:paraId="3FB8BD4E" w14:textId="07561ADD" w:rsidR="005115C4" w:rsidRDefault="000975B1" w:rsidP="00D422DC">
      <w:pPr>
        <w:tabs>
          <w:tab w:val="left" w:pos="284"/>
        </w:tabs>
      </w:pPr>
      <w:r>
        <w:tab/>
      </w:r>
      <w:r w:rsidR="00644923">
        <w:t>These are all cases</w:t>
      </w:r>
      <w:r w:rsidR="00B9799D">
        <w:t xml:space="preserve"> </w:t>
      </w:r>
      <w:r w:rsidR="00154400">
        <w:t xml:space="preserve">where </w:t>
      </w:r>
      <w:r w:rsidR="002213D4">
        <w:t>your</w:t>
      </w:r>
      <w:r w:rsidR="00B9799D">
        <w:t xml:space="preserve"> professional role restrict</w:t>
      </w:r>
      <w:r w:rsidR="002213D4">
        <w:t>s</w:t>
      </w:r>
      <w:r w:rsidR="00B9799D">
        <w:t xml:space="preserve"> the considerations that properly feature as reasons in the deliberative thought through which your action is guided. However, </w:t>
      </w:r>
      <w:r w:rsidR="00644923">
        <w:t>they illustrate three different ways in which that can be true</w:t>
      </w:r>
      <w:r w:rsidR="00B9799D">
        <w:t xml:space="preserve">. </w:t>
      </w:r>
      <w:r w:rsidR="00D422DC">
        <w:t xml:space="preserve">A professional role can restrict which reasons properly </w:t>
      </w:r>
      <w:r w:rsidR="00D422DC">
        <w:rPr>
          <w:i/>
        </w:rPr>
        <w:t>feature in deliberation</w:t>
      </w:r>
      <w:r w:rsidR="00D422DC">
        <w:t xml:space="preserve">; it can restrict which considerations actually </w:t>
      </w:r>
      <w:r w:rsidR="00D422DC">
        <w:rPr>
          <w:i/>
        </w:rPr>
        <w:t>qualify as reasons</w:t>
      </w:r>
      <w:r w:rsidR="00D422DC">
        <w:t xml:space="preserve">; or it can restrict the reasons by which it is appropriate for your </w:t>
      </w:r>
      <w:r w:rsidR="00D422DC">
        <w:rPr>
          <w:i/>
        </w:rPr>
        <w:t>action to be guided</w:t>
      </w:r>
      <w:r w:rsidR="00D422DC">
        <w:t>. The first aid example illustrates the first of these possibilities, the job committee example the second, and the teaching example the third. The aim of this essay</w:t>
      </w:r>
      <w:r w:rsidR="0033093F">
        <w:t xml:space="preserve"> is to </w:t>
      </w:r>
      <w:r w:rsidR="002213D4">
        <w:t>explain</w:t>
      </w:r>
      <w:r w:rsidR="0033093F">
        <w:t xml:space="preserve"> the difference between the</w:t>
      </w:r>
      <w:r w:rsidR="0078564D">
        <w:t>se three kinds of case</w:t>
      </w:r>
      <w:r w:rsidR="0033093F">
        <w:t xml:space="preserve">, </w:t>
      </w:r>
      <w:r w:rsidR="007E5B80">
        <w:t xml:space="preserve">to </w:t>
      </w:r>
      <w:r w:rsidR="0078564D">
        <w:t>examine</w:t>
      </w:r>
      <w:r w:rsidR="007E5B80">
        <w:t xml:space="preserve"> its importance, </w:t>
      </w:r>
      <w:r w:rsidR="0033093F">
        <w:t xml:space="preserve">and </w:t>
      </w:r>
      <w:r w:rsidR="0097277D">
        <w:t xml:space="preserve">to </w:t>
      </w:r>
      <w:r w:rsidR="0078564D">
        <w:t>ask what reasons there are for assigning a given professional action to one of these three categories rather than another</w:t>
      </w:r>
      <w:r w:rsidR="0097277D">
        <w:t>.</w:t>
      </w:r>
    </w:p>
    <w:p w14:paraId="3380DB38" w14:textId="6461FEB1" w:rsidR="0078564D" w:rsidRPr="004A528B" w:rsidRDefault="00293B6A" w:rsidP="00D422DC">
      <w:pPr>
        <w:tabs>
          <w:tab w:val="left" w:pos="284"/>
        </w:tabs>
      </w:pPr>
      <w:r>
        <w:lastRenderedPageBreak/>
        <w:tab/>
        <w:t xml:space="preserve">It will be helpful to have </w:t>
      </w:r>
      <w:r w:rsidR="004A528B">
        <w:t>names</w:t>
      </w:r>
      <w:r>
        <w:t xml:space="preserve"> for the three </w:t>
      </w:r>
      <w:r w:rsidR="002213D4">
        <w:t>different kinds of deliberative restriction</w:t>
      </w:r>
      <w:r w:rsidR="004A528B">
        <w:t xml:space="preserve">. The first involves what I shall call a </w:t>
      </w:r>
      <w:proofErr w:type="spellStart"/>
      <w:r w:rsidR="004A528B">
        <w:rPr>
          <w:i/>
        </w:rPr>
        <w:t>disregardable</w:t>
      </w:r>
      <w:proofErr w:type="spellEnd"/>
      <w:r w:rsidR="004A528B">
        <w:rPr>
          <w:i/>
        </w:rPr>
        <w:t xml:space="preserve"> reason</w:t>
      </w:r>
      <w:r w:rsidR="004A528B">
        <w:t xml:space="preserve">. </w:t>
      </w:r>
      <w:r w:rsidR="00FD752A">
        <w:t xml:space="preserve">If we follow the practice </w:t>
      </w:r>
      <w:r w:rsidR="002213D4">
        <w:t>of saying</w:t>
      </w:r>
      <w:r w:rsidR="00FD752A">
        <w:t xml:space="preserve"> that </w:t>
      </w:r>
      <w:r w:rsidR="002213D4">
        <w:t>a normative reason for an action is a fact that counts in its favour</w:t>
      </w:r>
      <w:r w:rsidR="00FD752A">
        <w:t xml:space="preserve">, then </w:t>
      </w:r>
      <w:proofErr w:type="spellStart"/>
      <w:r w:rsidR="00FD752A">
        <w:t>disregardable</w:t>
      </w:r>
      <w:proofErr w:type="spellEnd"/>
      <w:r w:rsidR="00FD752A">
        <w:t xml:space="preserve"> reasons have this form:</w:t>
      </w:r>
    </w:p>
    <w:p w14:paraId="1740E534" w14:textId="3F54ED32" w:rsidR="00905DAB" w:rsidRPr="00A60494" w:rsidRDefault="00905DAB" w:rsidP="00FD752A">
      <w:pPr>
        <w:tabs>
          <w:tab w:val="left" w:pos="284"/>
        </w:tabs>
        <w:ind w:left="567"/>
      </w:pPr>
      <w:r>
        <w:t xml:space="preserve">Fact </w:t>
      </w:r>
      <w:r w:rsidRPr="00905DAB">
        <w:rPr>
          <w:i/>
        </w:rPr>
        <w:t>F</w:t>
      </w:r>
      <w:r>
        <w:t xml:space="preserve"> </w:t>
      </w:r>
      <w:r w:rsidRPr="009B36C8">
        <w:t>is</w:t>
      </w:r>
      <w:r>
        <w:t xml:space="preserve"> a reason for action </w:t>
      </w:r>
      <w:r w:rsidRPr="00905DAB">
        <w:rPr>
          <w:i/>
        </w:rPr>
        <w:t>A</w:t>
      </w:r>
      <w:r>
        <w:t xml:space="preserve">, but </w:t>
      </w:r>
      <w:r w:rsidRPr="00905DAB">
        <w:rPr>
          <w:i/>
        </w:rPr>
        <w:t>F</w:t>
      </w:r>
      <w:r>
        <w:t xml:space="preserve"> should not feature in your deliberative thought about </w:t>
      </w:r>
      <w:r w:rsidRPr="00905DAB">
        <w:rPr>
          <w:i/>
        </w:rPr>
        <w:t>A</w:t>
      </w:r>
      <w:r>
        <w:t>.</w:t>
      </w:r>
    </w:p>
    <w:p w14:paraId="2D4342B0" w14:textId="715F04DB" w:rsidR="0097277D" w:rsidRDefault="00780B95" w:rsidP="00780B95">
      <w:pPr>
        <w:tabs>
          <w:tab w:val="left" w:pos="284"/>
        </w:tabs>
      </w:pPr>
      <w:r>
        <w:t xml:space="preserve">The clearest cases of </w:t>
      </w:r>
      <w:proofErr w:type="spellStart"/>
      <w:r w:rsidR="002213D4">
        <w:t>disregardable</w:t>
      </w:r>
      <w:proofErr w:type="spellEnd"/>
      <w:r>
        <w:t xml:space="preserve"> reasons are those which it is distracting or disturbing to think about – </w:t>
      </w:r>
      <w:r w:rsidR="003C779A">
        <w:t xml:space="preserve">so that </w:t>
      </w:r>
      <w:r>
        <w:t xml:space="preserve">thinking about them </w:t>
      </w:r>
      <w:r w:rsidR="003C779A">
        <w:t>gets in the way of</w:t>
      </w:r>
      <w:r>
        <w:t xml:space="preserve"> doing what they recommend. </w:t>
      </w:r>
      <w:r w:rsidR="00644923">
        <w:t>I</w:t>
      </w:r>
      <w:r w:rsidR="0097277D">
        <w:t>f you are crossing a</w:t>
      </w:r>
      <w:r w:rsidR="00D36D79">
        <w:t xml:space="preserve"> flimsy</w:t>
      </w:r>
      <w:r w:rsidR="0097277D">
        <w:t xml:space="preserve"> rope bridge over a crocodile-infested river, the unpleasant consequences of falling off certainly </w:t>
      </w:r>
      <w:r w:rsidR="00146445">
        <w:t xml:space="preserve">do </w:t>
      </w:r>
      <w:r w:rsidR="0097277D">
        <w:t xml:space="preserve">count in favour of </w:t>
      </w:r>
      <w:r w:rsidR="00644923">
        <w:t>walking across safely</w:t>
      </w:r>
      <w:r w:rsidR="0097277D">
        <w:t xml:space="preserve">, but if </w:t>
      </w:r>
      <w:r w:rsidR="00F75CD6">
        <w:t>thinking about</w:t>
      </w:r>
      <w:r w:rsidR="0097277D">
        <w:t xml:space="preserve"> those consequences will make you unsteady, </w:t>
      </w:r>
      <w:r w:rsidR="00644923">
        <w:t>you had better not do that</w:t>
      </w:r>
      <w:r w:rsidR="004A2254">
        <w:t xml:space="preserve">. </w:t>
      </w:r>
      <w:r w:rsidR="00FD752A">
        <w:t xml:space="preserve">I think the first aid case has this </w:t>
      </w:r>
      <w:r w:rsidR="002213D4">
        <w:t xml:space="preserve">kind of </w:t>
      </w:r>
      <w:r w:rsidR="00FD752A">
        <w:t>structure</w:t>
      </w:r>
      <w:r w:rsidR="003C779A">
        <w:t>.</w:t>
      </w:r>
      <w:r w:rsidR="00FD752A">
        <w:t xml:space="preserve"> The injured person’s distress is a reason for helping him, but the best way to deliver competent help </w:t>
      </w:r>
      <w:r w:rsidR="00644923">
        <w:t>may require not thinking</w:t>
      </w:r>
      <w:r w:rsidR="00FD752A">
        <w:t xml:space="preserve"> about that reason.</w:t>
      </w:r>
      <w:r w:rsidR="00F56DC5">
        <w:rPr>
          <w:rStyle w:val="EndnoteReference"/>
        </w:rPr>
        <w:endnoteReference w:id="1"/>
      </w:r>
    </w:p>
    <w:p w14:paraId="586080FC" w14:textId="059473D9" w:rsidR="003C779A" w:rsidRPr="003C779A" w:rsidRDefault="007E6015" w:rsidP="00FD752A">
      <w:pPr>
        <w:tabs>
          <w:tab w:val="left" w:pos="284"/>
        </w:tabs>
      </w:pPr>
      <w:r>
        <w:tab/>
      </w:r>
      <w:r w:rsidR="00FD752A">
        <w:t xml:space="preserve">My name for the second kind of case is </w:t>
      </w:r>
      <w:r w:rsidR="00FD752A">
        <w:rPr>
          <w:i/>
        </w:rPr>
        <w:t>c</w:t>
      </w:r>
      <w:r w:rsidR="003C779A">
        <w:rPr>
          <w:i/>
        </w:rPr>
        <w:t>ontext-</w:t>
      </w:r>
      <w:r w:rsidR="00FD752A">
        <w:rPr>
          <w:i/>
        </w:rPr>
        <w:t>u</w:t>
      </w:r>
      <w:r w:rsidR="003C779A">
        <w:rPr>
          <w:i/>
        </w:rPr>
        <w:t>ndermining</w:t>
      </w:r>
      <w:r w:rsidR="003C779A">
        <w:t>.</w:t>
      </w:r>
      <w:r w:rsidR="00FD752A">
        <w:rPr>
          <w:rStyle w:val="EndnoteReference"/>
        </w:rPr>
        <w:endnoteReference w:id="2"/>
      </w:r>
      <w:r w:rsidR="00476403">
        <w:t xml:space="preserve"> Here, </w:t>
      </w:r>
      <w:r w:rsidR="00644923">
        <w:t>there is a different structure</w:t>
      </w:r>
      <w:r w:rsidR="00476403">
        <w:t>:</w:t>
      </w:r>
    </w:p>
    <w:p w14:paraId="37577C33" w14:textId="77A38CE1" w:rsidR="003C779A" w:rsidRPr="003C779A" w:rsidRDefault="003C779A" w:rsidP="003C779A">
      <w:pPr>
        <w:tabs>
          <w:tab w:val="left" w:pos="284"/>
        </w:tabs>
        <w:ind w:left="567"/>
      </w:pPr>
      <w:r>
        <w:t xml:space="preserve">Fact </w:t>
      </w:r>
      <w:r>
        <w:rPr>
          <w:i/>
        </w:rPr>
        <w:t>F</w:t>
      </w:r>
      <w:r>
        <w:t xml:space="preserve"> is a reason for actions of type </w:t>
      </w:r>
      <w:r w:rsidRPr="003C779A">
        <w:rPr>
          <w:i/>
        </w:rPr>
        <w:t>A</w:t>
      </w:r>
      <w:r>
        <w:t xml:space="preserve"> in other contexts, but contextual fact </w:t>
      </w:r>
      <w:r>
        <w:rPr>
          <w:i/>
        </w:rPr>
        <w:t>C</w:t>
      </w:r>
      <w:r>
        <w:t xml:space="preserve"> prevents </w:t>
      </w:r>
      <w:r>
        <w:rPr>
          <w:i/>
        </w:rPr>
        <w:t>F</w:t>
      </w:r>
      <w:r>
        <w:t xml:space="preserve"> from being a reason for </w:t>
      </w:r>
      <w:r>
        <w:rPr>
          <w:i/>
        </w:rPr>
        <w:t>A</w:t>
      </w:r>
      <w:r>
        <w:t xml:space="preserve"> in </w:t>
      </w:r>
      <w:r>
        <w:rPr>
          <w:i/>
        </w:rPr>
        <w:t>this</w:t>
      </w:r>
      <w:r>
        <w:t xml:space="preserve"> context.</w:t>
      </w:r>
    </w:p>
    <w:p w14:paraId="08621C41" w14:textId="2B3D6F03" w:rsidR="00402482" w:rsidRDefault="00476403" w:rsidP="00D83124">
      <w:pPr>
        <w:tabs>
          <w:tab w:val="left" w:pos="284"/>
        </w:tabs>
      </w:pPr>
      <w:r>
        <w:t xml:space="preserve">The job committee example </w:t>
      </w:r>
      <w:r w:rsidR="002213D4">
        <w:t>is of this second type</w:t>
      </w:r>
      <w:r>
        <w:t xml:space="preserve">. </w:t>
      </w:r>
      <w:r w:rsidR="002213D4">
        <w:t>When you have a disc</w:t>
      </w:r>
      <w:r w:rsidR="009C1ED8">
        <w:t>retionary good to confer, t</w:t>
      </w:r>
      <w:r>
        <w:t xml:space="preserve">he fact </w:t>
      </w:r>
      <w:r w:rsidR="009C1ED8">
        <w:t xml:space="preserve">that Smiley will be more pleased than Dower to receive it is often a reason </w:t>
      </w:r>
      <w:r w:rsidR="00644923">
        <w:t xml:space="preserve">for giving </w:t>
      </w:r>
      <w:r w:rsidR="009C1ED8">
        <w:t>it to Smiley – but not in the context of a job committee, when the good in question is the offer of a job</w:t>
      </w:r>
      <w:r w:rsidR="006D7761">
        <w:t>.</w:t>
      </w:r>
      <w:r w:rsidR="00E1700D">
        <w:rPr>
          <w:rStyle w:val="EndnoteReference"/>
        </w:rPr>
        <w:endnoteReference w:id="3"/>
      </w:r>
      <w:r w:rsidR="00402482">
        <w:t xml:space="preserve"> </w:t>
      </w:r>
      <w:r w:rsidR="0052571D">
        <w:t>The professional context functions as a</w:t>
      </w:r>
      <w:r w:rsidR="00D36D79">
        <w:t>n</w:t>
      </w:r>
      <w:r w:rsidR="0052571D">
        <w:t xml:space="preserve"> underminer: it is a contextual fact that deprives another </w:t>
      </w:r>
      <w:r w:rsidR="00644923">
        <w:t>fact</w:t>
      </w:r>
      <w:r w:rsidR="0052571D">
        <w:t xml:space="preserve"> (</w:t>
      </w:r>
      <w:r w:rsidR="00644923">
        <w:t>that Smiley will be more pleased</w:t>
      </w:r>
      <w:r w:rsidR="0052571D">
        <w:t>)</w:t>
      </w:r>
      <w:r w:rsidR="00402482">
        <w:t xml:space="preserve"> </w:t>
      </w:r>
      <w:r w:rsidR="0052571D">
        <w:t>of the reason-giving</w:t>
      </w:r>
      <w:r w:rsidR="00402482">
        <w:t xml:space="preserve"> status </w:t>
      </w:r>
      <w:r w:rsidR="0052571D">
        <w:t>it has in other contexts</w:t>
      </w:r>
      <w:r w:rsidR="00F75CD6">
        <w:t>.</w:t>
      </w:r>
    </w:p>
    <w:p w14:paraId="21078C3B" w14:textId="706EC221" w:rsidR="00F75CD6" w:rsidRPr="00DF3D7B" w:rsidRDefault="009E5A03" w:rsidP="00D83124">
      <w:pPr>
        <w:tabs>
          <w:tab w:val="left" w:pos="284"/>
        </w:tabs>
      </w:pPr>
      <w:r>
        <w:lastRenderedPageBreak/>
        <w:tab/>
      </w:r>
      <w:r w:rsidR="002020BA">
        <w:t>The</w:t>
      </w:r>
      <w:r>
        <w:t xml:space="preserve"> third </w:t>
      </w:r>
      <w:r w:rsidR="00DF3D7B">
        <w:t xml:space="preserve">kind of case has a name already. Following </w:t>
      </w:r>
      <w:r w:rsidR="00236E47">
        <w:t>Joseph Raz</w:t>
      </w:r>
      <w:r w:rsidR="00DF3D7B">
        <w:t xml:space="preserve">, we can say that </w:t>
      </w:r>
      <w:r w:rsidR="00DF3D7B">
        <w:rPr>
          <w:i/>
        </w:rPr>
        <w:t xml:space="preserve">F </w:t>
      </w:r>
      <w:r w:rsidR="00DF3D7B">
        <w:t xml:space="preserve">is an </w:t>
      </w:r>
      <w:r w:rsidR="00DF3D7B">
        <w:rPr>
          <w:i/>
        </w:rPr>
        <w:t>excluded reason</w:t>
      </w:r>
      <w:r w:rsidR="00DF3D7B">
        <w:t xml:space="preserve"> when </w:t>
      </w:r>
      <w:r w:rsidR="009C1ED8">
        <w:t xml:space="preserve">we have </w:t>
      </w:r>
      <w:r w:rsidR="00DF3D7B">
        <w:t>this structure:</w:t>
      </w:r>
    </w:p>
    <w:p w14:paraId="7429C277" w14:textId="2462D525" w:rsidR="00F75CD6" w:rsidRDefault="00F75CD6" w:rsidP="00F75CD6">
      <w:pPr>
        <w:tabs>
          <w:tab w:val="left" w:pos="284"/>
        </w:tabs>
        <w:ind w:left="567"/>
      </w:pPr>
      <w:r>
        <w:t xml:space="preserve">Fact </w:t>
      </w:r>
      <w:r w:rsidRPr="00905DAB">
        <w:rPr>
          <w:i/>
        </w:rPr>
        <w:t>F</w:t>
      </w:r>
      <w:r>
        <w:t xml:space="preserve"> </w:t>
      </w:r>
      <w:r w:rsidRPr="009B36C8">
        <w:t>is</w:t>
      </w:r>
      <w:r>
        <w:t xml:space="preserve"> a reason for action </w:t>
      </w:r>
      <w:r w:rsidRPr="00905DAB">
        <w:rPr>
          <w:i/>
        </w:rPr>
        <w:t>A</w:t>
      </w:r>
      <w:r>
        <w:t xml:space="preserve">, but fact </w:t>
      </w:r>
      <w:r>
        <w:rPr>
          <w:i/>
        </w:rPr>
        <w:t>E</w:t>
      </w:r>
      <w:r>
        <w:t xml:space="preserve"> is a</w:t>
      </w:r>
      <w:r w:rsidR="00DF3D7B">
        <w:t xml:space="preserve"> decisive</w:t>
      </w:r>
      <w:r>
        <w:t xml:space="preserve"> reason not to be guided by </w:t>
      </w:r>
      <w:r>
        <w:rPr>
          <w:i/>
        </w:rPr>
        <w:t xml:space="preserve">F </w:t>
      </w:r>
      <w:r>
        <w:t xml:space="preserve">in </w:t>
      </w:r>
      <w:r>
        <w:rPr>
          <w:i/>
        </w:rPr>
        <w:t>A</w:t>
      </w:r>
      <w:r>
        <w:t>-</w:t>
      </w:r>
      <w:proofErr w:type="spellStart"/>
      <w:r>
        <w:t>ing</w:t>
      </w:r>
      <w:proofErr w:type="spellEnd"/>
      <w:r>
        <w:t>.</w:t>
      </w:r>
    </w:p>
    <w:p w14:paraId="15D3B75C" w14:textId="0F6EF53E" w:rsidR="000B7CB5" w:rsidRDefault="009C43F3" w:rsidP="00D83124">
      <w:pPr>
        <w:tabs>
          <w:tab w:val="left" w:pos="284"/>
        </w:tabs>
      </w:pPr>
      <w:r>
        <w:rPr>
          <w:i/>
        </w:rPr>
        <w:t>E</w:t>
      </w:r>
      <w:r>
        <w:t xml:space="preserve">’s being a reason not to be guided by </w:t>
      </w:r>
      <w:r>
        <w:rPr>
          <w:i/>
        </w:rPr>
        <w:t>F</w:t>
      </w:r>
      <w:r>
        <w:t xml:space="preserve"> is its being an “exclusionary reason” with respect to </w:t>
      </w:r>
      <w:r>
        <w:rPr>
          <w:i/>
        </w:rPr>
        <w:t>F</w:t>
      </w:r>
      <w:r w:rsidR="00154400">
        <w:t>:</w:t>
      </w:r>
      <w:r>
        <w:t xml:space="preserve"> when the exclusionary reason </w:t>
      </w:r>
      <w:r w:rsidR="00154400">
        <w:rPr>
          <w:i/>
        </w:rPr>
        <w:t xml:space="preserve">E </w:t>
      </w:r>
      <w:r>
        <w:t xml:space="preserve">is decisive, we can say that </w:t>
      </w:r>
      <w:r>
        <w:rPr>
          <w:i/>
        </w:rPr>
        <w:t xml:space="preserve">F </w:t>
      </w:r>
      <w:r>
        <w:t xml:space="preserve">is </w:t>
      </w:r>
      <w:r w:rsidR="00154400">
        <w:t xml:space="preserve">an </w:t>
      </w:r>
      <w:r>
        <w:t>excluded</w:t>
      </w:r>
      <w:r w:rsidR="00154400">
        <w:t xml:space="preserve"> reason</w:t>
      </w:r>
      <w:r>
        <w:t>.</w:t>
      </w:r>
      <w:r>
        <w:rPr>
          <w:rStyle w:val="EndnoteReference"/>
        </w:rPr>
        <w:endnoteReference w:id="4"/>
      </w:r>
      <w:r>
        <w:t xml:space="preserve">  </w:t>
      </w:r>
      <w:r w:rsidR="009C1ED8">
        <w:t>Raz gives the example of</w:t>
      </w:r>
      <w:r w:rsidR="00DF3D7B">
        <w:t xml:space="preserve"> the soldier Jeremy, who is ordered </w:t>
      </w:r>
      <w:r w:rsidR="00DF3D7B" w:rsidRPr="007E11CA">
        <w:t xml:space="preserve">by his </w:t>
      </w:r>
      <w:r w:rsidR="00DF3D7B">
        <w:t>commander to appropriate</w:t>
      </w:r>
      <w:r w:rsidR="00DF3D7B" w:rsidRPr="007E11CA">
        <w:t xml:space="preserve"> a </w:t>
      </w:r>
      <w:r w:rsidR="00DF3D7B">
        <w:t xml:space="preserve">tradesman’s </w:t>
      </w:r>
      <w:r w:rsidR="00DF3D7B" w:rsidRPr="007E11CA">
        <w:t>van</w:t>
      </w:r>
      <w:r w:rsidR="00DF3D7B">
        <w:t>. The inconvenience to the tradesman</w:t>
      </w:r>
      <w:r w:rsidR="000B7CB5">
        <w:t xml:space="preserve"> (</w:t>
      </w:r>
      <w:r w:rsidR="000B7CB5">
        <w:rPr>
          <w:i/>
        </w:rPr>
        <w:t>F</w:t>
      </w:r>
      <w:r w:rsidR="000B7CB5">
        <w:t>)</w:t>
      </w:r>
      <w:r w:rsidR="00DF3D7B">
        <w:t xml:space="preserve"> is a reason </w:t>
      </w:r>
      <w:r w:rsidR="000B7CB5">
        <w:t xml:space="preserve">not to take his van, but the commander’s order </w:t>
      </w:r>
      <w:r w:rsidR="000B7CB5">
        <w:rPr>
          <w:i/>
        </w:rPr>
        <w:t>(E</w:t>
      </w:r>
      <w:r w:rsidR="000B7CB5">
        <w:t xml:space="preserve">) is a </w:t>
      </w:r>
      <w:r>
        <w:t xml:space="preserve">decisive </w:t>
      </w:r>
      <w:r w:rsidR="000B7CB5">
        <w:t xml:space="preserve">reason for Jeremy not to be guided by </w:t>
      </w:r>
      <w:r w:rsidR="000B7CB5">
        <w:rPr>
          <w:i/>
        </w:rPr>
        <w:t>F</w:t>
      </w:r>
      <w:r w:rsidR="000B7CB5">
        <w:t xml:space="preserve"> in acting.</w:t>
      </w:r>
      <w:r w:rsidR="009E5A03">
        <w:t xml:space="preserve"> </w:t>
      </w:r>
      <w:r w:rsidR="002020BA">
        <w:t>The</w:t>
      </w:r>
      <w:r w:rsidR="000B7CB5">
        <w:t xml:space="preserve"> teaching example shares this structure. If I know a lot about Chinese history, then that is a reason to educate my students about Chinese history, but if I have been appointe</w:t>
      </w:r>
      <w:r w:rsidR="00EF1228">
        <w:t>d to teach Philosophy, then I have a reason of obedience to my university which, like Jeremy’s reason of obedience to his commander, plays an exclusionary role.</w:t>
      </w:r>
    </w:p>
    <w:p w14:paraId="2D443D74" w14:textId="30316BCD" w:rsidR="00D5461A" w:rsidRDefault="00D5461A" w:rsidP="00D83124">
      <w:pPr>
        <w:tabs>
          <w:tab w:val="left" w:pos="284"/>
        </w:tabs>
      </w:pPr>
      <w:r>
        <w:tab/>
      </w:r>
      <w:r w:rsidR="004468EE">
        <w:t>Notice the difference between t</w:t>
      </w:r>
      <w:r w:rsidR="00EF1228">
        <w:t>hese three structures</w:t>
      </w:r>
      <w:r>
        <w:t xml:space="preserve">. </w:t>
      </w:r>
      <w:r w:rsidR="00EF1228">
        <w:t xml:space="preserve">A </w:t>
      </w:r>
      <w:r w:rsidR="009C1ED8">
        <w:t xml:space="preserve">reason for </w:t>
      </w:r>
      <w:r w:rsidR="009C1ED8">
        <w:rPr>
          <w:i/>
        </w:rPr>
        <w:t xml:space="preserve">A </w:t>
      </w:r>
      <w:r w:rsidR="009C1ED8">
        <w:t xml:space="preserve">that is </w:t>
      </w:r>
      <w:proofErr w:type="spellStart"/>
      <w:r w:rsidR="00EF1228">
        <w:t>disregardable</w:t>
      </w:r>
      <w:proofErr w:type="spellEnd"/>
      <w:r w:rsidR="00EF1228">
        <w:t xml:space="preserve"> or excluded is </w:t>
      </w:r>
      <w:r w:rsidR="009C1ED8">
        <w:t xml:space="preserve">still </w:t>
      </w:r>
      <w:r w:rsidR="00EF1228">
        <w:t>a reason</w:t>
      </w:r>
      <w:r w:rsidR="009C1ED8">
        <w:t xml:space="preserve"> for </w:t>
      </w:r>
      <w:r w:rsidR="009C1ED8">
        <w:rPr>
          <w:i/>
        </w:rPr>
        <w:t>A</w:t>
      </w:r>
      <w:r w:rsidR="00EF1228">
        <w:t xml:space="preserve">; but a </w:t>
      </w:r>
      <w:r w:rsidR="00B52075">
        <w:t xml:space="preserve">consideration </w:t>
      </w:r>
      <w:r w:rsidR="00EF1228">
        <w:t xml:space="preserve">that </w:t>
      </w:r>
      <w:r w:rsidR="00B52075">
        <w:t xml:space="preserve">is subject to context-undermining </w:t>
      </w:r>
      <w:r w:rsidR="009C43F3">
        <w:t>is not –</w:t>
      </w:r>
      <w:r w:rsidR="009C1ED8">
        <w:t xml:space="preserve"> it </w:t>
      </w:r>
      <w:r w:rsidR="00EF1228">
        <w:t>has lost</w:t>
      </w:r>
      <w:r w:rsidR="00B52075">
        <w:t xml:space="preserve"> </w:t>
      </w:r>
      <w:r w:rsidR="009C1ED8">
        <w:t>that</w:t>
      </w:r>
      <w:r w:rsidR="00EF1228">
        <w:t xml:space="preserve"> status</w:t>
      </w:r>
      <w:r w:rsidR="00B52075">
        <w:t xml:space="preserve">. </w:t>
      </w:r>
      <w:r>
        <w:t xml:space="preserve">Discussions of Raz </w:t>
      </w:r>
      <w:r w:rsidR="00241B42">
        <w:t>sometimes miss this point, running together</w:t>
      </w:r>
      <w:r>
        <w:t xml:space="preserve"> reason</w:t>
      </w:r>
      <w:r w:rsidR="00241B42">
        <w:t>s</w:t>
      </w:r>
      <w:r w:rsidR="009C1ED8">
        <w:t>-exclusion</w:t>
      </w:r>
      <w:r>
        <w:t xml:space="preserve"> </w:t>
      </w:r>
      <w:r w:rsidR="00241B42">
        <w:t>and</w:t>
      </w:r>
      <w:r w:rsidR="009C1ED8">
        <w:t xml:space="preserve"> context-undermining</w:t>
      </w:r>
      <w:r>
        <w:t>.</w:t>
      </w:r>
      <w:r>
        <w:rPr>
          <w:rStyle w:val="EndnoteReference"/>
        </w:rPr>
        <w:endnoteReference w:id="5"/>
      </w:r>
      <w:r w:rsidR="002E0015">
        <w:t xml:space="preserve"> </w:t>
      </w:r>
      <w:r w:rsidR="00EF1228">
        <w:t>In Raz’s example,</w:t>
      </w:r>
      <w:r w:rsidR="00665BEF">
        <w:t xml:space="preserve"> the</w:t>
      </w:r>
      <w:r w:rsidR="00AF4A19">
        <w:t xml:space="preserve"> order Jeremy has received does not prevent the inconvenience to the tradesman from being a reason </w:t>
      </w:r>
      <w:r w:rsidR="00665BEF">
        <w:t>against taking</w:t>
      </w:r>
      <w:r w:rsidR="00AF4A19">
        <w:t xml:space="preserve"> his van</w:t>
      </w:r>
      <w:r w:rsidR="00665BEF">
        <w:t>: w</w:t>
      </w:r>
      <w:r w:rsidR="005A3F55">
        <w:t xml:space="preserve">hat </w:t>
      </w:r>
      <w:r w:rsidR="00665BEF">
        <w:t>the order</w:t>
      </w:r>
      <w:r w:rsidR="005A3F55">
        <w:t xml:space="preserve"> </w:t>
      </w:r>
      <w:r w:rsidR="00665BEF">
        <w:t>affects</w:t>
      </w:r>
      <w:r w:rsidR="005A3F55">
        <w:t xml:space="preserve"> is whether Jeremy ought to </w:t>
      </w:r>
      <w:r w:rsidR="005A3F55" w:rsidRPr="00445D72">
        <w:rPr>
          <w:i/>
        </w:rPr>
        <w:t>act for</w:t>
      </w:r>
      <w:r w:rsidR="009C1ED8">
        <w:t xml:space="preserve"> that reason. </w:t>
      </w:r>
      <w:r w:rsidR="00C94C47">
        <w:t xml:space="preserve">Moreover, a reason’s being </w:t>
      </w:r>
      <w:proofErr w:type="spellStart"/>
      <w:r w:rsidR="00C94C47">
        <w:t>disregardable</w:t>
      </w:r>
      <w:proofErr w:type="spellEnd"/>
      <w:r w:rsidR="00C94C47">
        <w:t xml:space="preserve"> and its being excluded are not the same thing.</w:t>
      </w:r>
      <w:r w:rsidR="009C0790">
        <w:rPr>
          <w:rStyle w:val="EndnoteReference"/>
        </w:rPr>
        <w:endnoteReference w:id="6"/>
      </w:r>
      <w:r w:rsidR="009C0790">
        <w:t xml:space="preserve"> In another of Raz’s examples, the tired investor</w:t>
      </w:r>
      <w:r w:rsidR="009C0790" w:rsidRPr="00973704">
        <w:t xml:space="preserve"> Ann is </w:t>
      </w:r>
      <w:r w:rsidR="009C0790">
        <w:t>presented at the end of a stressful day with</w:t>
      </w:r>
      <w:r w:rsidR="009C0790" w:rsidRPr="00973704">
        <w:t xml:space="preserve"> the opportunity to make an investment decision with a deadline of </w:t>
      </w:r>
      <w:proofErr w:type="gramStart"/>
      <w:r w:rsidR="009C0790" w:rsidRPr="00973704">
        <w:t>midnight, but</w:t>
      </w:r>
      <w:proofErr w:type="gramEnd"/>
      <w:r w:rsidR="009C0790" w:rsidRPr="00973704">
        <w:t xml:space="preserve"> </w:t>
      </w:r>
      <w:r w:rsidR="009C0790">
        <w:t>cannot</w:t>
      </w:r>
      <w:r w:rsidR="009C0790" w:rsidRPr="00973704">
        <w:t xml:space="preserve"> </w:t>
      </w:r>
      <w:r w:rsidR="009C0790">
        <w:t xml:space="preserve">trust her own judgement about the merits of the investment. </w:t>
      </w:r>
      <w:r w:rsidR="009C43F3">
        <w:t>The</w:t>
      </w:r>
      <w:r w:rsidR="009C0790">
        <w:t xml:space="preserve"> facts about the investment that make it financially advantageous </w:t>
      </w:r>
      <w:r w:rsidR="009C0790" w:rsidRPr="004468EE">
        <w:t>are</w:t>
      </w:r>
      <w:r w:rsidR="009C0790">
        <w:t xml:space="preserve"> reasons for making it; but Ann’s </w:t>
      </w:r>
      <w:r w:rsidR="00154400">
        <w:t>exhausted</w:t>
      </w:r>
      <w:r w:rsidR="009C0790">
        <w:t xml:space="preserve"> state counts against guiding her action through an assessment of those reasons: they are excluded. However, Raz points out that if</w:t>
      </w:r>
      <w:r w:rsidR="005A3F55">
        <w:t xml:space="preserve"> Ann </w:t>
      </w:r>
      <w:r w:rsidR="00154400">
        <w:t xml:space="preserve">is </w:t>
      </w:r>
      <w:r w:rsidR="00154400">
        <w:lastRenderedPageBreak/>
        <w:t xml:space="preserve">looking for some way to occupy her evening, </w:t>
      </w:r>
      <w:r w:rsidR="005A3F55">
        <w:t xml:space="preserve">there is </w:t>
      </w:r>
      <w:r w:rsidR="00445D72">
        <w:t>nothing wrong with</w:t>
      </w:r>
      <w:r w:rsidR="005A3F55">
        <w:t xml:space="preserve"> </w:t>
      </w:r>
      <w:r w:rsidR="00154400">
        <w:t>doing so</w:t>
      </w:r>
      <w:r w:rsidR="005A3F55">
        <w:t xml:space="preserve"> by weighing up the pros and cons of her investment opportunity.</w:t>
      </w:r>
      <w:r w:rsidR="00146445">
        <w:rPr>
          <w:rStyle w:val="EndnoteReference"/>
        </w:rPr>
        <w:endnoteReference w:id="7"/>
      </w:r>
      <w:r w:rsidR="005A3F55">
        <w:t xml:space="preserve"> </w:t>
      </w:r>
      <w:r w:rsidR="00E01C85">
        <w:t xml:space="preserve">Her </w:t>
      </w:r>
      <w:r w:rsidR="00154400">
        <w:t>exhausted</w:t>
      </w:r>
      <w:r w:rsidR="00E01C85">
        <w:t xml:space="preserve"> state</w:t>
      </w:r>
      <w:r w:rsidR="005A3F55">
        <w:t xml:space="preserve"> is not a reason against </w:t>
      </w:r>
      <w:r w:rsidR="00E01C85">
        <w:t>engaging in deliberative thought about the reasons for and against the investment</w:t>
      </w:r>
      <w:r w:rsidR="005A3F55">
        <w:t xml:space="preserve">; it is a reason against </w:t>
      </w:r>
      <w:r w:rsidR="00E01C85">
        <w:t xml:space="preserve">allowing </w:t>
      </w:r>
      <w:r w:rsidR="002020BA">
        <w:t>such thought</w:t>
      </w:r>
      <w:r w:rsidR="00E01C85">
        <w:t xml:space="preserve"> to guide her action</w:t>
      </w:r>
      <w:r w:rsidR="005A3F55">
        <w:t>.</w:t>
      </w:r>
      <w:r w:rsidR="005138FC">
        <w:rPr>
          <w:rStyle w:val="EndnoteReference"/>
        </w:rPr>
        <w:endnoteReference w:id="8"/>
      </w:r>
      <w:r w:rsidR="00E01C85">
        <w:t xml:space="preserve"> </w:t>
      </w:r>
      <w:r w:rsidR="009C0790">
        <w:t xml:space="preserve">So the reasons for making the investment, although excluded, are not </w:t>
      </w:r>
      <w:proofErr w:type="spellStart"/>
      <w:r w:rsidR="009C0790">
        <w:t>disregardable</w:t>
      </w:r>
      <w:proofErr w:type="spellEnd"/>
      <w:r w:rsidR="009C0790">
        <w:t xml:space="preserve">. </w:t>
      </w:r>
      <w:r w:rsidR="00E01C85">
        <w:t>And conversely</w:t>
      </w:r>
      <w:r w:rsidR="009C0790">
        <w:t xml:space="preserve">, a reason that is </w:t>
      </w:r>
      <w:proofErr w:type="spellStart"/>
      <w:r w:rsidR="009C0790">
        <w:t>disregardable</w:t>
      </w:r>
      <w:proofErr w:type="spellEnd"/>
      <w:r w:rsidR="009C0790">
        <w:t xml:space="preserve"> need not be excluded</w:t>
      </w:r>
      <w:r w:rsidR="00F352C6">
        <w:t xml:space="preserve"> from guiding your action</w:t>
      </w:r>
      <w:r w:rsidR="009C0790">
        <w:t>. In</w:t>
      </w:r>
      <w:r w:rsidR="00E01C85">
        <w:t xml:space="preserve"> the rope-bridge example, </w:t>
      </w:r>
      <w:r w:rsidR="00F352C6">
        <w:t>you do need yo</w:t>
      </w:r>
      <w:r w:rsidR="00713A39">
        <w:t>ur action to be guided in a way that minimizes the danger to you; but this require</w:t>
      </w:r>
      <w:r w:rsidR="00F352C6">
        <w:t>s you to keep</w:t>
      </w:r>
      <w:r w:rsidR="00713A39">
        <w:t xml:space="preserve"> </w:t>
      </w:r>
      <w:r w:rsidR="00F352C6">
        <w:t>that reason</w:t>
      </w:r>
      <w:r w:rsidR="00713A39">
        <w:t xml:space="preserve"> away from the forefront of your thought.</w:t>
      </w:r>
    </w:p>
    <w:p w14:paraId="7A835EAE" w14:textId="031CFB1B" w:rsidR="008065F2" w:rsidRDefault="005A3F55" w:rsidP="006D6D3E">
      <w:pPr>
        <w:tabs>
          <w:tab w:val="left" w:pos="284"/>
        </w:tabs>
      </w:pPr>
      <w:r>
        <w:tab/>
      </w:r>
      <w:r w:rsidR="00F352C6">
        <w:t>The task</w:t>
      </w:r>
      <w:r w:rsidR="00656A82">
        <w:t>s</w:t>
      </w:r>
      <w:r w:rsidR="00F352C6">
        <w:t xml:space="preserve"> in what follows </w:t>
      </w:r>
      <w:r w:rsidR="00656A82">
        <w:t>will be</w:t>
      </w:r>
      <w:r w:rsidR="00F352C6">
        <w:t xml:space="preserve"> to </w:t>
      </w:r>
      <w:r w:rsidR="00656A82">
        <w:t xml:space="preserve">defend and extend these claims – explaining </w:t>
      </w:r>
      <w:r w:rsidR="00154400">
        <w:t>the</w:t>
      </w:r>
      <w:r w:rsidR="00F352C6">
        <w:t xml:space="preserve"> three-way distinction more fully, </w:t>
      </w:r>
      <w:r w:rsidR="00656A82">
        <w:t>investigating</w:t>
      </w:r>
      <w:r w:rsidR="00F352C6">
        <w:t xml:space="preserve"> the further subtypes that can be found within each of </w:t>
      </w:r>
      <w:r w:rsidR="00154400">
        <w:t>the</w:t>
      </w:r>
      <w:r w:rsidR="00F352C6">
        <w:t xml:space="preserve"> three classes, and examining their application</w:t>
      </w:r>
      <w:r w:rsidR="002020BA">
        <w:t xml:space="preserve"> </w:t>
      </w:r>
      <w:r w:rsidR="005138FC">
        <w:t xml:space="preserve">to the normative ethics of professional roles. </w:t>
      </w:r>
      <w:r w:rsidR="008065F2">
        <w:t xml:space="preserve">I </w:t>
      </w:r>
      <w:r w:rsidR="00656A82">
        <w:t xml:space="preserve">shall </w:t>
      </w:r>
      <w:r w:rsidR="00F352C6">
        <w:t xml:space="preserve">work through </w:t>
      </w:r>
      <w:r w:rsidR="00656A82">
        <w:t>the different cases</w:t>
      </w:r>
      <w:r w:rsidR="00C75D80">
        <w:t xml:space="preserve"> in turn</w:t>
      </w:r>
      <w:r w:rsidR="008065F2">
        <w:t xml:space="preserve">, starting with </w:t>
      </w:r>
      <w:proofErr w:type="spellStart"/>
      <w:r w:rsidR="00F352C6">
        <w:t>disregardable</w:t>
      </w:r>
      <w:proofErr w:type="spellEnd"/>
      <w:r w:rsidR="008065F2">
        <w:t xml:space="preserve"> reasons</w:t>
      </w:r>
      <w:r w:rsidR="003D5E0F">
        <w:t xml:space="preserve"> (in Section I)</w:t>
      </w:r>
      <w:r w:rsidR="008065F2">
        <w:t>, then turning to context-undermining</w:t>
      </w:r>
      <w:r w:rsidR="003D5E0F">
        <w:t xml:space="preserve"> (in Sections II-III)</w:t>
      </w:r>
      <w:r w:rsidR="008065F2">
        <w:t xml:space="preserve">, </w:t>
      </w:r>
      <w:r w:rsidR="00772059">
        <w:t>before</w:t>
      </w:r>
      <w:r w:rsidR="008065F2">
        <w:t xml:space="preserve"> considering three </w:t>
      </w:r>
      <w:r w:rsidR="00F352C6">
        <w:t>distinct</w:t>
      </w:r>
      <w:r w:rsidR="008065F2">
        <w:t xml:space="preserve"> sources of </w:t>
      </w:r>
      <w:proofErr w:type="spellStart"/>
      <w:r w:rsidR="002734E4">
        <w:t>Razian</w:t>
      </w:r>
      <w:proofErr w:type="spellEnd"/>
      <w:r w:rsidR="002734E4">
        <w:t xml:space="preserve"> reasons-exclusion</w:t>
      </w:r>
      <w:r w:rsidR="00C00FE3">
        <w:t xml:space="preserve"> (in Sections IV-VII)</w:t>
      </w:r>
      <w:r w:rsidR="00656A82">
        <w:t xml:space="preserve">. Two sources </w:t>
      </w:r>
      <w:r w:rsidR="004468EE">
        <w:t xml:space="preserve">of reasons-exclusion </w:t>
      </w:r>
      <w:r w:rsidR="00656A82">
        <w:t>are relationships of authority, illustrated by Jeremy, and circumstances of self-mistrust</w:t>
      </w:r>
      <w:r w:rsidR="006D6D3E">
        <w:t xml:space="preserve">, illustrated by Ann. In Raz’s original discussion of reasons-exclusion, he also gives the example of </w:t>
      </w:r>
      <w:r w:rsidR="00656A82">
        <w:t xml:space="preserve">the </w:t>
      </w:r>
      <w:r w:rsidR="00C00FE3">
        <w:t>conscientious</w:t>
      </w:r>
      <w:r w:rsidR="00656A82">
        <w:t xml:space="preserve"> parent Colin, who </w:t>
      </w:r>
      <w:r w:rsidR="00C83C65">
        <w:t xml:space="preserve">is concerned about the example he will set if he sends his son to an expensive </w:t>
      </w:r>
      <w:proofErr w:type="gramStart"/>
      <w:r w:rsidR="00C83C65">
        <w:t>school, but</w:t>
      </w:r>
      <w:proofErr w:type="gramEnd"/>
      <w:r w:rsidR="00C83C65">
        <w:t xml:space="preserve"> promises</w:t>
      </w:r>
      <w:r w:rsidR="00656A82">
        <w:t xml:space="preserve"> his wife </w:t>
      </w:r>
      <w:r w:rsidR="00C83C65">
        <w:t>to</w:t>
      </w:r>
      <w:r w:rsidR="00656A82">
        <w:t xml:space="preserve"> base </w:t>
      </w:r>
      <w:r w:rsidR="00C83C65">
        <w:t>his</w:t>
      </w:r>
      <w:r w:rsidR="00656A82">
        <w:t xml:space="preserve"> decis</w:t>
      </w:r>
      <w:r w:rsidR="006D6D3E">
        <w:t>ion only on the son’s interests: this illustrates a third source, which I call “task-based commitment”. My aim will be to show that a</w:t>
      </w:r>
      <w:r w:rsidR="002734E4">
        <w:t>ll</w:t>
      </w:r>
      <w:r w:rsidR="00713A39">
        <w:t xml:space="preserve"> of these</w:t>
      </w:r>
      <w:r w:rsidR="002020BA">
        <w:t xml:space="preserve"> different possibilities </w:t>
      </w:r>
      <w:r w:rsidR="00713A39">
        <w:t>have important professional applications</w:t>
      </w:r>
      <w:r w:rsidR="00146445">
        <w:t>, and</w:t>
      </w:r>
      <w:r w:rsidR="004473C6">
        <w:t xml:space="preserve"> </w:t>
      </w:r>
      <w:r w:rsidR="006D6D3E">
        <w:t xml:space="preserve">that </w:t>
      </w:r>
      <w:r w:rsidR="004473C6">
        <w:t>the differences between them are instructive</w:t>
      </w:r>
      <w:r w:rsidR="008878D0">
        <w:t>.</w:t>
      </w:r>
    </w:p>
    <w:p w14:paraId="5E6D7B4C" w14:textId="77777777" w:rsidR="007E6015" w:rsidRDefault="007E6015" w:rsidP="00D83124">
      <w:pPr>
        <w:tabs>
          <w:tab w:val="left" w:pos="284"/>
        </w:tabs>
      </w:pPr>
    </w:p>
    <w:p w14:paraId="1D539F77" w14:textId="20C9B569" w:rsidR="00241B42" w:rsidRDefault="00D067F5" w:rsidP="00D83124">
      <w:pPr>
        <w:tabs>
          <w:tab w:val="left" w:pos="284"/>
        </w:tabs>
        <w:jc w:val="center"/>
        <w:rPr>
          <w:b/>
        </w:rPr>
      </w:pPr>
      <w:r>
        <w:rPr>
          <w:b/>
        </w:rPr>
        <w:t xml:space="preserve">I: </w:t>
      </w:r>
      <w:proofErr w:type="spellStart"/>
      <w:r w:rsidR="00BD5D41">
        <w:rPr>
          <w:b/>
        </w:rPr>
        <w:t>Disregardable</w:t>
      </w:r>
      <w:proofErr w:type="spellEnd"/>
      <w:r w:rsidR="008878D0">
        <w:rPr>
          <w:b/>
        </w:rPr>
        <w:t xml:space="preserve"> Reasons</w:t>
      </w:r>
      <w:r w:rsidR="00241B42">
        <w:rPr>
          <w:b/>
        </w:rPr>
        <w:br/>
      </w:r>
    </w:p>
    <w:p w14:paraId="001B637E" w14:textId="0564B6A4" w:rsidR="00D31C5C" w:rsidRDefault="00556DD7" w:rsidP="00241B42">
      <w:pPr>
        <w:tabs>
          <w:tab w:val="left" w:pos="284"/>
        </w:tabs>
      </w:pPr>
      <w:r>
        <w:lastRenderedPageBreak/>
        <w:t>A fact gives you what</w:t>
      </w:r>
      <w:r w:rsidR="00D31C5C">
        <w:t xml:space="preserve"> I </w:t>
      </w:r>
      <w:r w:rsidR="00F01C5D">
        <w:t>am calling</w:t>
      </w:r>
      <w:r w:rsidR="00D31C5C">
        <w:t xml:space="preserve"> a </w:t>
      </w:r>
      <w:proofErr w:type="spellStart"/>
      <w:r w:rsidR="00BD5D41">
        <w:t>disregardable</w:t>
      </w:r>
      <w:proofErr w:type="spellEnd"/>
      <w:r w:rsidR="00D31C5C">
        <w:t xml:space="preserve"> reason </w:t>
      </w:r>
      <w:r>
        <w:t xml:space="preserve">when it </w:t>
      </w:r>
      <w:r>
        <w:rPr>
          <w:i/>
        </w:rPr>
        <w:t>is</w:t>
      </w:r>
      <w:r>
        <w:t xml:space="preserve"> a reason for performing an </w:t>
      </w:r>
      <w:proofErr w:type="gramStart"/>
      <w:r>
        <w:t>action, but</w:t>
      </w:r>
      <w:proofErr w:type="gramEnd"/>
      <w:r>
        <w:t xml:space="preserve"> should not feature in your deliberative thought about that action. </w:t>
      </w:r>
      <w:r w:rsidR="005D66AE">
        <w:t>Explanations of this could come</w:t>
      </w:r>
      <w:r w:rsidR="00C3715B">
        <w:t xml:space="preserve"> from many directions: I could promise not to let a certain reason feature in my deliberative thought, or </w:t>
      </w:r>
      <w:r w:rsidR="005D66AE">
        <w:t>you could threaten me</w:t>
      </w:r>
      <w:r w:rsidR="00C3715B">
        <w:t xml:space="preserve"> with dire consequences if I do. However, the most </w:t>
      </w:r>
      <w:r w:rsidR="00D31C5C">
        <w:t xml:space="preserve">interesting cases </w:t>
      </w:r>
      <w:r w:rsidR="00C3715B">
        <w:t xml:space="preserve">of </w:t>
      </w:r>
      <w:proofErr w:type="spellStart"/>
      <w:r w:rsidR="00BD5D41">
        <w:t>disregardable</w:t>
      </w:r>
      <w:proofErr w:type="spellEnd"/>
      <w:r w:rsidR="00C3715B">
        <w:t xml:space="preserve"> reasons – and the ones most relevant to professional life – </w:t>
      </w:r>
      <w:r w:rsidR="00D31C5C">
        <w:t xml:space="preserve">are those where doing what </w:t>
      </w:r>
      <w:r w:rsidR="005D66AE">
        <w:t>a</w:t>
      </w:r>
      <w:r w:rsidR="00D31C5C">
        <w:t xml:space="preserve"> reason itself recommends requires </w:t>
      </w:r>
      <w:r w:rsidR="00BD5D41">
        <w:t>you not to let that reason enter your deliberation</w:t>
      </w:r>
      <w:r w:rsidR="00D31C5C">
        <w:t>.</w:t>
      </w:r>
      <w:r w:rsidR="00C3715B">
        <w:t xml:space="preserve"> These cases </w:t>
      </w:r>
      <w:r w:rsidR="00C00FE3">
        <w:t>can</w:t>
      </w:r>
      <w:r w:rsidR="00C3715B">
        <w:t xml:space="preserve"> have various explanations: here, I examine five.</w:t>
      </w:r>
    </w:p>
    <w:p w14:paraId="39C643B5" w14:textId="3F255080" w:rsidR="00442229" w:rsidRDefault="00C3715B" w:rsidP="00241B42">
      <w:pPr>
        <w:tabs>
          <w:tab w:val="left" w:pos="284"/>
        </w:tabs>
      </w:pPr>
      <w:r>
        <w:tab/>
        <w:t>In a first kind of case</w:t>
      </w:r>
      <w:r w:rsidR="00CA7AD6">
        <w:t xml:space="preserve">, what </w:t>
      </w:r>
      <w:r w:rsidR="005D66AE">
        <w:t>deliberation impedes</w:t>
      </w:r>
      <w:r w:rsidR="00CA7AD6">
        <w:t xml:space="preserve"> is accurate physical performance.</w:t>
      </w:r>
      <w:r>
        <w:t xml:space="preserve"> The rope-bridge example illustrated t</w:t>
      </w:r>
      <w:r w:rsidR="00507392">
        <w:t>his. We find p</w:t>
      </w:r>
      <w:r>
        <w:t xml:space="preserve">rofessional applications </w:t>
      </w:r>
      <w:r w:rsidR="00507392">
        <w:t>of this in military (aiming a weapon), artistic (playing an instrument), sporting</w:t>
      </w:r>
      <w:r w:rsidR="000A7419">
        <w:t xml:space="preserve"> (throwing a pass)</w:t>
      </w:r>
      <w:r w:rsidR="00146445">
        <w:t>,</w:t>
      </w:r>
      <w:r w:rsidR="00507392">
        <w:t xml:space="preserve"> and medical fields (</w:t>
      </w:r>
      <w:r w:rsidR="000A7419">
        <w:t>taking a blood sample</w:t>
      </w:r>
      <w:r w:rsidR="00507392">
        <w:t>)</w:t>
      </w:r>
      <w:r w:rsidR="00171BEF">
        <w:t xml:space="preserve">. </w:t>
      </w:r>
      <w:r w:rsidR="00442229">
        <w:t>Here, deliberation is an obstacle becau</w:t>
      </w:r>
      <w:r w:rsidR="00171BEF">
        <w:t xml:space="preserve">se the skill in question is too </w:t>
      </w:r>
      <w:r w:rsidR="00442229">
        <w:t>fine-grained to be accurately controlled by it.</w:t>
      </w:r>
      <w:r w:rsidR="005A1ADD">
        <w:rPr>
          <w:rStyle w:val="EndnoteReference"/>
        </w:rPr>
        <w:endnoteReference w:id="9"/>
      </w:r>
      <w:r w:rsidR="00442229">
        <w:t xml:space="preserve"> </w:t>
      </w:r>
      <w:r w:rsidR="00171BEF">
        <w:t>It is only in rare circumstances that deliberating about how to exercise motor control is a help rather than a hindrance.</w:t>
      </w:r>
      <w:r w:rsidR="00442229">
        <w:t xml:space="preserve"> </w:t>
      </w:r>
    </w:p>
    <w:p w14:paraId="057525BA" w14:textId="7270F869" w:rsidR="00171BEF" w:rsidRDefault="00171BEF" w:rsidP="00241B42">
      <w:pPr>
        <w:tabs>
          <w:tab w:val="left" w:pos="284"/>
        </w:tabs>
      </w:pPr>
      <w:r>
        <w:tab/>
        <w:t>In a second class of cases, swift decision-making</w:t>
      </w:r>
      <w:r w:rsidR="005D66AE">
        <w:t xml:space="preserve"> is needed</w:t>
      </w:r>
      <w:r>
        <w:t>. A trained firefighter making intuitive judgements about the safety of a burning building is one well-studied example of this;</w:t>
      </w:r>
      <w:r>
        <w:rPr>
          <w:rStyle w:val="EndnoteReference"/>
        </w:rPr>
        <w:endnoteReference w:id="10"/>
      </w:r>
      <w:r>
        <w:t xml:space="preserve"> another is the use of weapons by police.</w:t>
      </w:r>
      <w:r w:rsidR="00146445">
        <w:rPr>
          <w:rStyle w:val="EndnoteReference"/>
        </w:rPr>
        <w:endnoteReference w:id="11"/>
      </w:r>
      <w:r>
        <w:t xml:space="preserve"> In these cases, an apparent threat must be addressed immediately: deliberation is an obstacle to doing so because there is no</w:t>
      </w:r>
      <w:r w:rsidR="005D66AE">
        <w:t>t enough</w:t>
      </w:r>
      <w:r>
        <w:t xml:space="preserve"> time for it.</w:t>
      </w:r>
    </w:p>
    <w:p w14:paraId="6AD8E289" w14:textId="7F122533" w:rsidR="001F462A" w:rsidRDefault="00854AEC" w:rsidP="00241B42">
      <w:pPr>
        <w:tabs>
          <w:tab w:val="left" w:pos="284"/>
        </w:tabs>
      </w:pPr>
      <w:r>
        <w:tab/>
      </w:r>
      <w:r w:rsidR="001F462A">
        <w:t>A third class involves correcting for bias.</w:t>
      </w:r>
      <w:r>
        <w:t xml:space="preserve"> An athlete or soldier will reach a higher standard of physical conditioning by leaving judgements about when to stop training to an instructor. The pain and discomfort </w:t>
      </w:r>
      <w:proofErr w:type="gramStart"/>
      <w:r>
        <w:t>is</w:t>
      </w:r>
      <w:proofErr w:type="gramEnd"/>
      <w:r>
        <w:t xml:space="preserve"> a reason to stop, but one whose insistence in claiming attention makes it easy to exaggerate. Clamorous reasons l</w:t>
      </w:r>
      <w:r w:rsidR="005D66AE">
        <w:t xml:space="preserve">ike these </w:t>
      </w:r>
      <w:r w:rsidR="00772059">
        <w:t>can be</w:t>
      </w:r>
      <w:r w:rsidR="005D66AE">
        <w:t xml:space="preserve"> better </w:t>
      </w:r>
      <w:r w:rsidR="005F1BD8">
        <w:t>disregarded</w:t>
      </w:r>
      <w:r>
        <w:t xml:space="preserve"> when deliberation about </w:t>
      </w:r>
      <w:r w:rsidR="00146445">
        <w:t>them is likely to misjudge their strength</w:t>
      </w:r>
      <w:r w:rsidR="000301E1">
        <w:t>.</w:t>
      </w:r>
    </w:p>
    <w:p w14:paraId="55A82D65" w14:textId="2A1AE502" w:rsidR="00A82A45" w:rsidRDefault="000301E1" w:rsidP="000301E1">
      <w:pPr>
        <w:tabs>
          <w:tab w:val="left" w:pos="284"/>
        </w:tabs>
      </w:pPr>
      <w:r>
        <w:rPr>
          <w:rFonts w:cs="Minion Pro"/>
          <w:color w:val="211D1E"/>
          <w:sz w:val="21"/>
          <w:szCs w:val="21"/>
        </w:rPr>
        <w:lastRenderedPageBreak/>
        <w:tab/>
      </w:r>
      <w:r w:rsidR="001F462A">
        <w:t xml:space="preserve">In all of these cases, it is possible for skilled practitioners to be guided by reasons that </w:t>
      </w:r>
      <w:r w:rsidR="00BD5D41">
        <w:t>do not feature in their</w:t>
      </w:r>
      <w:r w:rsidR="00146445">
        <w:t xml:space="preserve"> </w:t>
      </w:r>
      <w:r>
        <w:t>deliberative thought</w:t>
      </w:r>
      <w:r w:rsidR="001F462A">
        <w:t>.</w:t>
      </w:r>
      <w:r>
        <w:t xml:space="preserve"> </w:t>
      </w:r>
      <w:r w:rsidR="005D66AE">
        <w:t>Their skilled action can track the relevant</w:t>
      </w:r>
      <w:r w:rsidR="00E6204C">
        <w:t xml:space="preserve"> reasons</w:t>
      </w:r>
      <w:r w:rsidR="005D66AE">
        <w:t>, non-accidentally conforming with them,</w:t>
      </w:r>
      <w:r w:rsidR="00E6204C">
        <w:t xml:space="preserve"> </w:t>
      </w:r>
      <w:r w:rsidR="005D66AE">
        <w:t>without requiring an e</w:t>
      </w:r>
      <w:r w:rsidR="001F462A">
        <w:t>pisode of deliberatio</w:t>
      </w:r>
      <w:r w:rsidR="00E6204C">
        <w:t>n in which th</w:t>
      </w:r>
      <w:r w:rsidR="005D66AE">
        <w:t>os</w:t>
      </w:r>
      <w:r w:rsidR="00E6204C">
        <w:t>e reason</w:t>
      </w:r>
      <w:r w:rsidR="005D66AE">
        <w:t>s feature</w:t>
      </w:r>
      <w:r w:rsidR="00E6204C">
        <w:t xml:space="preserve">. </w:t>
      </w:r>
      <w:r w:rsidR="005D66AE">
        <w:t>A</w:t>
      </w:r>
      <w:r w:rsidR="00E6204C">
        <w:t xml:space="preserve"> seasoned firefighter </w:t>
      </w:r>
      <w:r w:rsidR="005D66AE">
        <w:t xml:space="preserve">who </w:t>
      </w:r>
      <w:r w:rsidR="00E6204C">
        <w:t>develops reliable premonitions of danger</w:t>
      </w:r>
      <w:r w:rsidR="005D66AE">
        <w:t xml:space="preserve"> acquires</w:t>
      </w:r>
      <w:r w:rsidR="00E6204C">
        <w:t xml:space="preserve"> a sensitivity to </w:t>
      </w:r>
      <w:r w:rsidR="00A82A45">
        <w:t xml:space="preserve">dangerous features of the environment that are good reasons for the action of evacuating </w:t>
      </w:r>
      <w:r w:rsidR="00BD5D41">
        <w:t xml:space="preserve">a building </w:t>
      </w:r>
      <w:r w:rsidR="00A82A45">
        <w:t>– a sensitivity that can be exercised without deliberation.</w:t>
      </w:r>
      <w:r w:rsidR="00772059">
        <w:rPr>
          <w:rStyle w:val="EndnoteReference"/>
        </w:rPr>
        <w:endnoteReference w:id="12"/>
      </w:r>
      <w:r w:rsidR="00A82A45">
        <w:t xml:space="preserve"> </w:t>
      </w:r>
      <w:r w:rsidR="006D5D80">
        <w:t>Here,</w:t>
      </w:r>
      <w:r w:rsidR="00C21466">
        <w:t xml:space="preserve"> </w:t>
      </w:r>
      <w:r w:rsidR="00154400">
        <w:t>the</w:t>
      </w:r>
      <w:r w:rsidR="00442229">
        <w:t xml:space="preserve"> non-deliberative guidance</w:t>
      </w:r>
      <w:r w:rsidR="00154400">
        <w:t xml:space="preserve"> of actions by reasons</w:t>
      </w:r>
      <w:r w:rsidR="006D5D80">
        <w:t xml:space="preserve"> is apparently achieved </w:t>
      </w:r>
      <w:r w:rsidR="00A82A45">
        <w:t xml:space="preserve">by routinizing the skill </w:t>
      </w:r>
      <w:r w:rsidR="001F462A">
        <w:t xml:space="preserve">in question so that it </w:t>
      </w:r>
      <w:r w:rsidR="00A82A45">
        <w:t>p</w:t>
      </w:r>
      <w:r w:rsidR="00D1006A">
        <w:t>asses from the laborious supervision of our brain’s deliberative “</w:t>
      </w:r>
      <w:r w:rsidR="001F462A">
        <w:t>System 2</w:t>
      </w:r>
      <w:r w:rsidR="00D1006A">
        <w:t>”</w:t>
      </w:r>
      <w:r w:rsidR="001F462A">
        <w:t xml:space="preserve"> to </w:t>
      </w:r>
      <w:r w:rsidR="00D1006A">
        <w:t>the more fluent, automated control of its “</w:t>
      </w:r>
      <w:r w:rsidR="001F462A">
        <w:t>System 1</w:t>
      </w:r>
      <w:r w:rsidR="00D1006A">
        <w:t>”</w:t>
      </w:r>
      <w:r>
        <w:rPr>
          <w:rFonts w:cs="Times New Roman"/>
        </w:rPr>
        <w:t>.</w:t>
      </w:r>
      <w:r w:rsidR="00A82A45">
        <w:rPr>
          <w:rStyle w:val="EndnoteReference"/>
          <w:rFonts w:cs="Times New Roman"/>
        </w:rPr>
        <w:endnoteReference w:id="13"/>
      </w:r>
      <w:r w:rsidR="00D1006A">
        <w:rPr>
          <w:rFonts w:cs="Times New Roman"/>
        </w:rPr>
        <w:t xml:space="preserve"> </w:t>
      </w:r>
      <w:r w:rsidR="006D5D80">
        <w:rPr>
          <w:rFonts w:cs="Times New Roman"/>
        </w:rPr>
        <w:t>Another way to achieve this is</w:t>
      </w:r>
      <w:r w:rsidR="00D1006A">
        <w:rPr>
          <w:rFonts w:cs="Times New Roman"/>
        </w:rPr>
        <w:t xml:space="preserve"> through attentional self-control</w:t>
      </w:r>
      <w:r w:rsidR="006D5D80">
        <w:rPr>
          <w:rFonts w:cs="Times New Roman"/>
        </w:rPr>
        <w:t>, as in the</w:t>
      </w:r>
      <w:r w:rsidR="00D1006A">
        <w:rPr>
          <w:rFonts w:cs="Times New Roman"/>
        </w:rPr>
        <w:t xml:space="preserve"> rope-bridge example. </w:t>
      </w:r>
      <w:r w:rsidR="000A7419">
        <w:rPr>
          <w:rFonts w:cs="Times New Roman"/>
        </w:rPr>
        <w:t>In an unfamiliar</w:t>
      </w:r>
      <w:r w:rsidR="00D1006A">
        <w:rPr>
          <w:rFonts w:cs="Times New Roman"/>
        </w:rPr>
        <w:t xml:space="preserve"> situation, there will have been no question of routinizing the skills you need, but </w:t>
      </w:r>
      <w:r w:rsidR="005D66AE">
        <w:rPr>
          <w:rFonts w:cs="Times New Roman"/>
        </w:rPr>
        <w:t xml:space="preserve">through </w:t>
      </w:r>
      <w:r w:rsidR="00D1006A">
        <w:rPr>
          <w:rFonts w:cs="Times New Roman"/>
        </w:rPr>
        <w:t xml:space="preserve">attentional self-control </w:t>
      </w:r>
      <w:r w:rsidR="005D66AE">
        <w:rPr>
          <w:rFonts w:cs="Times New Roman"/>
        </w:rPr>
        <w:t xml:space="preserve">you </w:t>
      </w:r>
      <w:r w:rsidR="00D1006A">
        <w:rPr>
          <w:rFonts w:cs="Times New Roman"/>
        </w:rPr>
        <w:t xml:space="preserve">may </w:t>
      </w:r>
      <w:r w:rsidR="005D66AE">
        <w:rPr>
          <w:rFonts w:cs="Times New Roman"/>
        </w:rPr>
        <w:t>still be able to achieve the</w:t>
      </w:r>
      <w:r w:rsidR="00705EF2">
        <w:rPr>
          <w:rFonts w:cs="Times New Roman"/>
        </w:rPr>
        <w:t xml:space="preserve"> emotional self-control</w:t>
      </w:r>
      <w:r w:rsidR="005D66AE">
        <w:rPr>
          <w:rFonts w:cs="Times New Roman"/>
        </w:rPr>
        <w:t xml:space="preserve"> </w:t>
      </w:r>
      <w:r w:rsidR="000A7419">
        <w:rPr>
          <w:rFonts w:cs="Times New Roman"/>
        </w:rPr>
        <w:t>that is necessary</w:t>
      </w:r>
      <w:r w:rsidR="005D66AE">
        <w:rPr>
          <w:rFonts w:cs="Times New Roman"/>
        </w:rPr>
        <w:t xml:space="preserve"> to prevent</w:t>
      </w:r>
      <w:r w:rsidR="00705EF2">
        <w:rPr>
          <w:rFonts w:cs="Times New Roman"/>
        </w:rPr>
        <w:t xml:space="preserve"> your emotional response to the </w:t>
      </w:r>
      <w:r w:rsidR="000A7419">
        <w:rPr>
          <w:rFonts w:cs="Times New Roman"/>
        </w:rPr>
        <w:t>alarming</w:t>
      </w:r>
      <w:r w:rsidR="00705EF2">
        <w:rPr>
          <w:rFonts w:cs="Times New Roman"/>
        </w:rPr>
        <w:t xml:space="preserve"> reasons bearing on your situation </w:t>
      </w:r>
      <w:r w:rsidR="000A7419">
        <w:rPr>
          <w:rFonts w:cs="Times New Roman"/>
        </w:rPr>
        <w:t>from</w:t>
      </w:r>
      <w:r w:rsidR="00705EF2">
        <w:rPr>
          <w:rFonts w:cs="Times New Roman"/>
        </w:rPr>
        <w:t xml:space="preserve"> impair</w:t>
      </w:r>
      <w:r w:rsidR="000A7419">
        <w:rPr>
          <w:rFonts w:cs="Times New Roman"/>
        </w:rPr>
        <w:t>ing</w:t>
      </w:r>
      <w:r w:rsidR="00465B2E">
        <w:rPr>
          <w:rFonts w:cs="Times New Roman"/>
        </w:rPr>
        <w:t xml:space="preserve"> your physical performance.</w:t>
      </w:r>
      <w:r w:rsidR="00465B2E">
        <w:rPr>
          <w:rStyle w:val="EndnoteReference"/>
          <w:rFonts w:cs="Times New Roman"/>
        </w:rPr>
        <w:endnoteReference w:id="14"/>
      </w:r>
    </w:p>
    <w:p w14:paraId="2AA3086F" w14:textId="180BC864" w:rsidR="00705EF2" w:rsidRDefault="005D66AE" w:rsidP="00A81980">
      <w:pPr>
        <w:tabs>
          <w:tab w:val="left" w:pos="284"/>
        </w:tabs>
      </w:pPr>
      <w:r>
        <w:tab/>
        <w:t>In the same way, a</w:t>
      </w:r>
      <w:r w:rsidR="00705EF2">
        <w:t xml:space="preserve">ttentional self-control can also be necessary to facilitate accurate mental performance, </w:t>
      </w:r>
      <w:r w:rsidR="006D5D80">
        <w:t>giving</w:t>
      </w:r>
      <w:r w:rsidR="00705EF2">
        <w:t xml:space="preserve"> us a fourth class of cases. For a professional example, think of airline pilots, who train in simulators to handle stressful emergencies.</w:t>
      </w:r>
      <w:r w:rsidR="00552B3D">
        <w:t xml:space="preserve"> Part of what is impressive about the skills acquired through this training is the attentional self-control </w:t>
      </w:r>
      <w:r w:rsidR="00DA4870">
        <w:t xml:space="preserve">required for the methodical solving of technical problems under conditions of stress </w:t>
      </w:r>
      <w:r w:rsidR="000A7419">
        <w:t>that</w:t>
      </w:r>
      <w:r w:rsidR="00DA4870">
        <w:t xml:space="preserve"> natura</w:t>
      </w:r>
      <w:r w:rsidR="000A7419">
        <w:t>l</w:t>
      </w:r>
      <w:r w:rsidR="00DA4870">
        <w:t>l</w:t>
      </w:r>
      <w:r w:rsidR="000A7419">
        <w:t>y produce</w:t>
      </w:r>
      <w:r w:rsidR="00DA4870">
        <w:t xml:space="preserve"> emotional triggers </w:t>
      </w:r>
      <w:r w:rsidR="000A7419">
        <w:t>tending</w:t>
      </w:r>
      <w:r w:rsidR="00C21466">
        <w:t xml:space="preserve"> to </w:t>
      </w:r>
      <w:r w:rsidR="00DA4870">
        <w:t xml:space="preserve">disrupt this </w:t>
      </w:r>
      <w:r w:rsidR="00C21466">
        <w:t>kind</w:t>
      </w:r>
      <w:r w:rsidR="00AD2772">
        <w:t xml:space="preserve"> of thought.</w:t>
      </w:r>
      <w:r w:rsidR="00AD2772">
        <w:rPr>
          <w:rStyle w:val="EndnoteReference"/>
        </w:rPr>
        <w:endnoteReference w:id="15"/>
      </w:r>
    </w:p>
    <w:p w14:paraId="4118F909" w14:textId="5575DEB7" w:rsidR="006E226F" w:rsidRDefault="00DA4870" w:rsidP="00A81980">
      <w:pPr>
        <w:tabs>
          <w:tab w:val="left" w:pos="284"/>
        </w:tabs>
      </w:pPr>
      <w:r>
        <w:tab/>
        <w:t>This might seem to in</w:t>
      </w:r>
      <w:r w:rsidR="005D66AE">
        <w:t xml:space="preserve">volve the opposite of </w:t>
      </w:r>
      <w:proofErr w:type="spellStart"/>
      <w:r w:rsidR="00BD5D41">
        <w:t>disregardable</w:t>
      </w:r>
      <w:proofErr w:type="spellEnd"/>
      <w:r>
        <w:t xml:space="preserve"> reasons. The pilot, one might insist, is being trained </w:t>
      </w:r>
      <w:r w:rsidR="008E14AA">
        <w:rPr>
          <w:i/>
        </w:rPr>
        <w:t>to deliberate</w:t>
      </w:r>
      <w:r>
        <w:rPr>
          <w:i/>
        </w:rPr>
        <w:t xml:space="preserve"> </w:t>
      </w:r>
      <w:r>
        <w:t>in a stressful emergency</w:t>
      </w:r>
      <w:r w:rsidR="008E14AA">
        <w:t>, instead of reacting emotionally.</w:t>
      </w:r>
      <w:r>
        <w:t xml:space="preserve"> However, while that is true en</w:t>
      </w:r>
      <w:r w:rsidR="00C407D4">
        <w:t xml:space="preserve">ough, it does not prevent this case from involving </w:t>
      </w:r>
      <w:r w:rsidR="00BD5D41">
        <w:t xml:space="preserve">a </w:t>
      </w:r>
      <w:proofErr w:type="spellStart"/>
      <w:r w:rsidR="00BD5D41">
        <w:t>disregardable</w:t>
      </w:r>
      <w:proofErr w:type="spellEnd"/>
      <w:r w:rsidR="00C407D4">
        <w:t xml:space="preserve"> reason. </w:t>
      </w:r>
      <w:r w:rsidR="00A81980">
        <w:t>Emotions are intentional, objec</w:t>
      </w:r>
      <w:r w:rsidR="00C407D4">
        <w:t xml:space="preserve">t-directed states: they respond, </w:t>
      </w:r>
      <w:r w:rsidR="00A81980">
        <w:t>fittingly or otherwise</w:t>
      </w:r>
      <w:r w:rsidR="00C407D4">
        <w:t>,</w:t>
      </w:r>
      <w:r w:rsidR="00A81980">
        <w:t xml:space="preserve"> to the way we take their objects to be.</w:t>
      </w:r>
      <w:r w:rsidR="00C407D4">
        <w:t xml:space="preserve"> </w:t>
      </w:r>
      <w:r w:rsidR="00A81980">
        <w:t xml:space="preserve">When the object </w:t>
      </w:r>
      <w:r w:rsidR="00A81980" w:rsidRPr="00A81980">
        <w:rPr>
          <w:i/>
        </w:rPr>
        <w:t>is</w:t>
      </w:r>
      <w:r w:rsidR="00A81980">
        <w:t xml:space="preserve"> the way we take it to be we are </w:t>
      </w:r>
      <w:r w:rsidR="00A81980">
        <w:lastRenderedPageBreak/>
        <w:t xml:space="preserve">responding to a fact about it, and when the emotion is fitting, the fact is a reason for </w:t>
      </w:r>
      <w:r w:rsidR="00C407D4">
        <w:t>the emotion</w:t>
      </w:r>
      <w:r w:rsidR="00A81980">
        <w:t>.</w:t>
      </w:r>
      <w:r w:rsidR="00C260DC">
        <w:rPr>
          <w:rStyle w:val="EndnoteReference"/>
        </w:rPr>
        <w:endnoteReference w:id="16"/>
      </w:r>
      <w:r w:rsidR="00C407D4">
        <w:t xml:space="preserve"> Danger is a reason for fear; loss, a reason for sadness. Emotions are typically evoked by a </w:t>
      </w:r>
      <w:r w:rsidR="00A81980">
        <w:t>vivid awareness of the reason</w:t>
      </w:r>
      <w:r w:rsidR="00C407D4">
        <w:t>s that support them</w:t>
      </w:r>
      <w:r w:rsidR="00A81980">
        <w:t>.</w:t>
      </w:r>
      <w:r w:rsidR="00C407D4">
        <w:t xml:space="preserve"> When a pilot is confronted with a serious malfunction, the fact that </w:t>
      </w:r>
      <w:r w:rsidR="008E14AA">
        <w:t xml:space="preserve">everyone on board </w:t>
      </w:r>
      <w:r w:rsidR="00C407D4">
        <w:t>is at risk of dying a violent death is a very strong reason for correcting the malfunction</w:t>
      </w:r>
      <w:r w:rsidR="000A7419">
        <w:t>:</w:t>
      </w:r>
      <w:r w:rsidR="005D66AE">
        <w:t xml:space="preserve"> it is also a reason for terror</w:t>
      </w:r>
      <w:r w:rsidR="00C407D4">
        <w:t xml:space="preserve">. </w:t>
      </w:r>
      <w:r w:rsidR="005D66AE">
        <w:t>G</w:t>
      </w:r>
      <w:r w:rsidR="00C407D4">
        <w:t xml:space="preserve">iving </w:t>
      </w:r>
      <w:r w:rsidR="008E14AA">
        <w:rPr>
          <w:i/>
        </w:rPr>
        <w:t xml:space="preserve">that </w:t>
      </w:r>
      <w:r w:rsidR="008E14AA">
        <w:t xml:space="preserve">reason prominence in one’s deliberative thought </w:t>
      </w:r>
      <w:r w:rsidR="005D66AE">
        <w:t>thus risks generating</w:t>
      </w:r>
      <w:r w:rsidR="00C9476F">
        <w:t xml:space="preserve"> emotions that are obstacles to the exercise </w:t>
      </w:r>
      <w:r w:rsidR="006E226F">
        <w:t xml:space="preserve">of the necessary </w:t>
      </w:r>
      <w:r w:rsidR="00C9476F">
        <w:t>competence</w:t>
      </w:r>
      <w:r w:rsidR="006E226F">
        <w:t xml:space="preserve">. </w:t>
      </w:r>
      <w:proofErr w:type="gramStart"/>
      <w:r w:rsidR="006E226F">
        <w:t>So</w:t>
      </w:r>
      <w:proofErr w:type="gramEnd"/>
      <w:r w:rsidR="006E226F">
        <w:t xml:space="preserve"> it makes sense to train one’s attentional self-control to avoid </w:t>
      </w:r>
      <w:r w:rsidR="005F1BD8">
        <w:t>attending to</w:t>
      </w:r>
      <w:r w:rsidR="006E226F">
        <w:t xml:space="preserve"> this reason, in order to do what it recommends.</w:t>
      </w:r>
    </w:p>
    <w:p w14:paraId="3EA197DC" w14:textId="30BFA336" w:rsidR="00C9476F" w:rsidRDefault="006E226F" w:rsidP="00241B42">
      <w:pPr>
        <w:tabs>
          <w:tab w:val="left" w:pos="284"/>
        </w:tabs>
      </w:pPr>
      <w:r>
        <w:tab/>
      </w:r>
      <w:r w:rsidR="005D66AE">
        <w:t>Therefore, this case does</w:t>
      </w:r>
      <w:r>
        <w:t>, after all,</w:t>
      </w:r>
      <w:r w:rsidR="00C9476F">
        <w:t xml:space="preserve"> </w:t>
      </w:r>
      <w:r w:rsidR="005D66AE">
        <w:t>meet</w:t>
      </w:r>
      <w:r w:rsidR="00C9476F">
        <w:t xml:space="preserve"> the description of a </w:t>
      </w:r>
      <w:proofErr w:type="spellStart"/>
      <w:r w:rsidR="00BD5D41">
        <w:t>disregardable</w:t>
      </w:r>
      <w:proofErr w:type="spellEnd"/>
      <w:r w:rsidR="00C9476F">
        <w:t xml:space="preserve"> reason.</w:t>
      </w:r>
      <w:r w:rsidR="00C21466">
        <w:t xml:space="preserve"> And t</w:t>
      </w:r>
      <w:r>
        <w:t xml:space="preserve">he same point </w:t>
      </w:r>
      <w:r w:rsidR="00C21466">
        <w:t>has a more general application – in particular,</w:t>
      </w:r>
      <w:r w:rsidR="00C9476F">
        <w:t xml:space="preserve"> to the caring professions, such as nursing.</w:t>
      </w:r>
      <w:r>
        <w:t xml:space="preserve"> </w:t>
      </w:r>
      <w:r w:rsidR="00C9476F">
        <w:t>If you a</w:t>
      </w:r>
      <w:r w:rsidR="00B02EF2">
        <w:t xml:space="preserve">re a paediatric nurse, the facts about how </w:t>
      </w:r>
      <w:r w:rsidR="00C9476F">
        <w:t>a child</w:t>
      </w:r>
      <w:r w:rsidR="00B02EF2">
        <w:t xml:space="preserve">’s </w:t>
      </w:r>
      <w:r w:rsidR="00C9476F">
        <w:t xml:space="preserve">suffering </w:t>
      </w:r>
      <w:r w:rsidR="00B02EF2">
        <w:t>feels are r</w:t>
      </w:r>
      <w:r w:rsidR="00C9476F">
        <w:t>eason</w:t>
      </w:r>
      <w:r w:rsidR="00B02EF2">
        <w:t>s</w:t>
      </w:r>
      <w:r w:rsidR="00C9476F">
        <w:t xml:space="preserve"> to provide both comfort and competent medical care. </w:t>
      </w:r>
      <w:r w:rsidR="00B02EF2">
        <w:t>Those facts are also reasons</w:t>
      </w:r>
      <w:r w:rsidR="00C9476F">
        <w:t xml:space="preserve"> to be upset.</w:t>
      </w:r>
      <w:r w:rsidR="00B02EF2">
        <w:t xml:space="preserve"> But, if bringing th</w:t>
      </w:r>
      <w:r w:rsidR="009E2BA8">
        <w:t>o</w:t>
      </w:r>
      <w:r w:rsidR="00B02EF2">
        <w:t>se facts vividly to mind will evoke an emotional resp</w:t>
      </w:r>
      <w:r w:rsidR="00C21466">
        <w:t>onse that compromises the compe</w:t>
      </w:r>
      <w:r w:rsidR="00B02EF2">
        <w:t>tence of one’s care, there are good reasons for exercising emotional self-control; and one way to do that is through the attentional self-control that refrains from bringing these facts vividly to mind.</w:t>
      </w:r>
    </w:p>
    <w:p w14:paraId="6A977DF2" w14:textId="4BE68738" w:rsidR="00CA594A" w:rsidRDefault="006E226F" w:rsidP="00241B42">
      <w:pPr>
        <w:tabs>
          <w:tab w:val="left" w:pos="284"/>
        </w:tabs>
      </w:pPr>
      <w:r>
        <w:tab/>
      </w:r>
      <w:r w:rsidR="008E16E7">
        <w:t xml:space="preserve">That gives us four different </w:t>
      </w:r>
      <w:r>
        <w:t>explanation</w:t>
      </w:r>
      <w:r w:rsidR="008E16E7">
        <w:t>s</w:t>
      </w:r>
      <w:r>
        <w:t xml:space="preserve"> </w:t>
      </w:r>
      <w:r w:rsidR="008E16E7">
        <w:t xml:space="preserve">of why doing what a reason recommends can require </w:t>
      </w:r>
      <w:r w:rsidR="0025203F">
        <w:t>disregarding it in</w:t>
      </w:r>
      <w:r w:rsidR="008E16E7">
        <w:t xml:space="preserve"> deliberative thought: this can be required for accurate physical performance, swift decision-making, correcting for bias, and accurate mental performance. A further, fifth explanation is also </w:t>
      </w:r>
      <w:r w:rsidR="005D66AE">
        <w:t>important in connection with</w:t>
      </w:r>
      <w:r w:rsidR="008E16E7">
        <w:t xml:space="preserve"> the caring professions. Emotional and, therefore, attentional self-control can be needed in order to avoid burnout – that is, in order to sustain professional competence over the course of a career.</w:t>
      </w:r>
      <w:r w:rsidR="00C260DC">
        <w:rPr>
          <w:rStyle w:val="EndnoteReference"/>
        </w:rPr>
        <w:endnoteReference w:id="17"/>
      </w:r>
      <w:r w:rsidR="008E16E7">
        <w:t xml:space="preserve"> That is another way in which keeping the full force of the reason-providing facts about others’ welfare</w:t>
      </w:r>
      <w:r w:rsidR="005D66AE">
        <w:t xml:space="preserve"> from the forefront of one’s attention</w:t>
      </w:r>
      <w:r w:rsidR="008E16E7">
        <w:t xml:space="preserve"> can be required in o</w:t>
      </w:r>
      <w:r w:rsidR="00B02EF2">
        <w:t xml:space="preserve">rder to </w:t>
      </w:r>
      <w:r w:rsidR="008E16E7">
        <w:t>serve it with professional competence.</w:t>
      </w:r>
      <w:r w:rsidR="00B02EF2">
        <w:t xml:space="preserve"> </w:t>
      </w:r>
    </w:p>
    <w:p w14:paraId="7B73B3F5" w14:textId="211FD2AA" w:rsidR="00536147" w:rsidRDefault="00CA594A" w:rsidP="00CF3B99">
      <w:pPr>
        <w:tabs>
          <w:tab w:val="left" w:pos="284"/>
        </w:tabs>
      </w:pPr>
      <w:r>
        <w:lastRenderedPageBreak/>
        <w:tab/>
        <w:t xml:space="preserve">This way of understanding emotional self-control in the caring professions helps to explain why working to </w:t>
      </w:r>
      <w:r w:rsidR="00585715">
        <w:t>attain</w:t>
      </w:r>
      <w:r>
        <w:t xml:space="preserve"> it is a significant challenge and attaining it an impressive achievement. When reasons call </w:t>
      </w:r>
      <w:r w:rsidR="0025203F">
        <w:t>to be disregarded</w:t>
      </w:r>
      <w:r>
        <w:t xml:space="preserve">, this does not make them unimportant: on the contrary, it can be because they are very important that they risk overwhelming our attention and making it difficult to act effectively. </w:t>
      </w:r>
      <w:r w:rsidR="00CF3B99">
        <w:t xml:space="preserve">But this carries with it a converse danger. </w:t>
      </w:r>
      <w:r w:rsidR="00585715">
        <w:t>When emotional</w:t>
      </w:r>
      <w:r w:rsidR="00536147">
        <w:t xml:space="preserve"> self-control </w:t>
      </w:r>
      <w:r w:rsidR="00585715">
        <w:t xml:space="preserve">is exercised </w:t>
      </w:r>
      <w:r w:rsidR="00CF3B99">
        <w:t>without a sensitivity to the welfare-promoting reasons that make it important</w:t>
      </w:r>
      <w:r w:rsidR="00585715">
        <w:t>, the</w:t>
      </w:r>
      <w:r w:rsidR="00536147">
        <w:t xml:space="preserve"> </w:t>
      </w:r>
      <w:r w:rsidR="00CF3B99">
        <w:t xml:space="preserve">result </w:t>
      </w:r>
      <w:r w:rsidR="00585715">
        <w:t>can be</w:t>
      </w:r>
      <w:r w:rsidR="00CF3B99">
        <w:t xml:space="preserve"> a</w:t>
      </w:r>
      <w:r w:rsidR="00536147">
        <w:t xml:space="preserve"> </w:t>
      </w:r>
      <w:r w:rsidR="0049425B">
        <w:t xml:space="preserve">“clinical” </w:t>
      </w:r>
      <w:r w:rsidR="00536147">
        <w:t xml:space="preserve">coldness that </w:t>
      </w:r>
      <w:r w:rsidR="00CF3B99">
        <w:t>secures</w:t>
      </w:r>
      <w:r w:rsidR="00536147">
        <w:t xml:space="preserve"> medical competence </w:t>
      </w:r>
      <w:r w:rsidR="00CF3B99">
        <w:t>without</w:t>
      </w:r>
      <w:r w:rsidR="00536147">
        <w:t xml:space="preserve"> comfort. That</w:t>
      </w:r>
      <w:r w:rsidR="00CF3B99">
        <w:t xml:space="preserve"> i</w:t>
      </w:r>
      <w:r w:rsidR="00536147">
        <w:t xml:space="preserve">s a loss, because the </w:t>
      </w:r>
      <w:proofErr w:type="spellStart"/>
      <w:r w:rsidR="00BD5D41">
        <w:t>disregardable</w:t>
      </w:r>
      <w:proofErr w:type="spellEnd"/>
      <w:r w:rsidR="00CF3B99">
        <w:t xml:space="preserve"> </w:t>
      </w:r>
      <w:r w:rsidR="00536147">
        <w:t xml:space="preserve">reason </w:t>
      </w:r>
      <w:r w:rsidR="00CF3B99">
        <w:t>still speaks against it</w:t>
      </w:r>
      <w:r w:rsidR="00536147">
        <w:t>.</w:t>
      </w:r>
    </w:p>
    <w:p w14:paraId="57A9ACCF" w14:textId="77777777" w:rsidR="00241B42" w:rsidRDefault="00241B42" w:rsidP="00241B42">
      <w:pPr>
        <w:tabs>
          <w:tab w:val="left" w:pos="284"/>
        </w:tabs>
        <w:rPr>
          <w:b/>
        </w:rPr>
      </w:pPr>
    </w:p>
    <w:p w14:paraId="291FF79D" w14:textId="2994C5DE" w:rsidR="00D067F5" w:rsidRDefault="00556DD7" w:rsidP="00D83124">
      <w:pPr>
        <w:tabs>
          <w:tab w:val="left" w:pos="284"/>
        </w:tabs>
        <w:jc w:val="center"/>
      </w:pPr>
      <w:r>
        <w:rPr>
          <w:b/>
        </w:rPr>
        <w:t xml:space="preserve">II: </w:t>
      </w:r>
      <w:r w:rsidR="00D067F5">
        <w:rPr>
          <w:b/>
        </w:rPr>
        <w:t>Context-Undermining</w:t>
      </w:r>
    </w:p>
    <w:p w14:paraId="4A6B162E" w14:textId="77777777" w:rsidR="00D067F5" w:rsidRDefault="00D067F5" w:rsidP="00D83124">
      <w:pPr>
        <w:tabs>
          <w:tab w:val="left" w:pos="284"/>
        </w:tabs>
      </w:pPr>
    </w:p>
    <w:p w14:paraId="298B81AE" w14:textId="34C2222F" w:rsidR="00DB1010" w:rsidRDefault="00154400" w:rsidP="00DB1010">
      <w:pPr>
        <w:tabs>
          <w:tab w:val="left" w:pos="284"/>
          <w:tab w:val="left" w:pos="360"/>
        </w:tabs>
      </w:pPr>
      <w:r>
        <w:t>The second of our three main kinds of</w:t>
      </w:r>
      <w:r w:rsidR="00C21466">
        <w:t xml:space="preserve"> deliberative restriction</w:t>
      </w:r>
      <w:r>
        <w:t xml:space="preserve"> </w:t>
      </w:r>
      <w:proofErr w:type="gramStart"/>
      <w:r>
        <w:t>comes</w:t>
      </w:r>
      <w:proofErr w:type="gramEnd"/>
      <w:r>
        <w:t xml:space="preserve"> from context-undermining. To examine this</w:t>
      </w:r>
      <w:r w:rsidR="0090160B">
        <w:t xml:space="preserve">, </w:t>
      </w:r>
      <w:r>
        <w:t>we can start with</w:t>
      </w:r>
      <w:r w:rsidR="0090160B">
        <w:t xml:space="preserve"> a fiduciary example</w:t>
      </w:r>
      <w:r w:rsidR="00C21466">
        <w:t xml:space="preserve">. </w:t>
      </w:r>
      <w:r w:rsidR="001269C1">
        <w:t>Suppose y</w:t>
      </w:r>
      <w:r w:rsidR="00DB1010">
        <w:t>ou are a lawyer who is appointed as the trustee of a fund</w:t>
      </w:r>
      <w:r w:rsidR="001269C1">
        <w:t>, and</w:t>
      </w:r>
      <w:r w:rsidR="0090160B">
        <w:t xml:space="preserve"> I am the designated beneficiary</w:t>
      </w:r>
      <w:r w:rsidR="00DB1010">
        <w:t xml:space="preserve">. </w:t>
      </w:r>
      <w:r w:rsidR="00B14EB6">
        <w:t>W</w:t>
      </w:r>
      <w:r w:rsidR="00DB1010">
        <w:t xml:space="preserve">hen you </w:t>
      </w:r>
      <w:r w:rsidR="003E7A39">
        <w:t>act</w:t>
      </w:r>
      <w:r w:rsidR="00DB1010">
        <w:t xml:space="preserve"> in this fiduciary role, </w:t>
      </w:r>
      <w:r w:rsidR="003E7A39">
        <w:t>there is a restriction on the ways in which you can properly</w:t>
      </w:r>
      <w:r w:rsidR="00DB1010">
        <w:t xml:space="preserve"> deliberate. </w:t>
      </w:r>
      <w:r w:rsidR="004926FF">
        <w:t xml:space="preserve">When deciding what to do with the money </w:t>
      </w:r>
      <w:r w:rsidR="003E7A39">
        <w:t>you hold</w:t>
      </w:r>
      <w:r w:rsidR="004926FF">
        <w:t xml:space="preserve"> in trust, you should not proceed by weighing the interests of yourself and your relatives on the one hand, against </w:t>
      </w:r>
      <w:r w:rsidR="0090160B">
        <w:t>my</w:t>
      </w:r>
      <w:r w:rsidR="004926FF">
        <w:t xml:space="preserve"> interests on the other. </w:t>
      </w:r>
      <w:r w:rsidR="005F1BD8">
        <w:t xml:space="preserve">Deliberating in this way would be unprofessional, even if you concluded that the latter reasons were </w:t>
      </w:r>
      <w:proofErr w:type="gramStart"/>
      <w:r w:rsidR="005F1BD8">
        <w:t>weightier, and</w:t>
      </w:r>
      <w:proofErr w:type="gramEnd"/>
      <w:r w:rsidR="005F1BD8">
        <w:t xml:space="preserve"> spent </w:t>
      </w:r>
      <w:r w:rsidR="004926FF">
        <w:t xml:space="preserve">the money on </w:t>
      </w:r>
      <w:r w:rsidR="0090160B">
        <w:t>me</w:t>
      </w:r>
      <w:r w:rsidR="004926FF">
        <w:t xml:space="preserve">. </w:t>
      </w:r>
      <w:r w:rsidR="003E7A39">
        <w:t xml:space="preserve">Then you </w:t>
      </w:r>
      <w:r w:rsidR="005F1BD8">
        <w:t xml:space="preserve">would not </w:t>
      </w:r>
      <w:r w:rsidR="003E7A39">
        <w:t xml:space="preserve">have </w:t>
      </w:r>
      <w:r w:rsidR="003E7A39">
        <w:rPr>
          <w:i/>
        </w:rPr>
        <w:t xml:space="preserve">acted </w:t>
      </w:r>
      <w:r w:rsidR="003E7A39">
        <w:t>corruptly, but you</w:t>
      </w:r>
      <w:r w:rsidR="004926FF">
        <w:t xml:space="preserve"> </w:t>
      </w:r>
      <w:r w:rsidR="005F1BD8">
        <w:t>would still have failed</w:t>
      </w:r>
      <w:r w:rsidR="004926FF">
        <w:t xml:space="preserve"> to conduct yourself </w:t>
      </w:r>
      <w:r w:rsidR="003E7A39">
        <w:t>as</w:t>
      </w:r>
      <w:r w:rsidR="004926FF">
        <w:t xml:space="preserve"> you should. The interests of yourself and your relatives </w:t>
      </w:r>
      <w:r w:rsidR="0090160B">
        <w:t>are not</w:t>
      </w:r>
      <w:r w:rsidR="004926FF">
        <w:t xml:space="preserve"> eligible to feature in your deliberation at all.</w:t>
      </w:r>
    </w:p>
    <w:p w14:paraId="12F91405" w14:textId="24FE818B" w:rsidR="004926FF" w:rsidRDefault="004926FF" w:rsidP="00DB1010">
      <w:pPr>
        <w:tabs>
          <w:tab w:val="left" w:pos="284"/>
          <w:tab w:val="left" w:pos="360"/>
        </w:tabs>
      </w:pPr>
      <w:r>
        <w:tab/>
        <w:t xml:space="preserve">This is not convincingly explained by assimilating it to </w:t>
      </w:r>
      <w:r w:rsidR="004D0170">
        <w:t xml:space="preserve">the </w:t>
      </w:r>
      <w:r>
        <w:t xml:space="preserve">cases </w:t>
      </w:r>
      <w:r w:rsidR="004D0170">
        <w:t xml:space="preserve">we have just been discussing, as a </w:t>
      </w:r>
      <w:proofErr w:type="spellStart"/>
      <w:r w:rsidR="00BD5D41">
        <w:t>disregardable</w:t>
      </w:r>
      <w:proofErr w:type="spellEnd"/>
      <w:r w:rsidR="004D0170">
        <w:t xml:space="preserve"> reason. </w:t>
      </w:r>
      <w:r w:rsidR="00E14B40">
        <w:t>This time</w:t>
      </w:r>
      <w:r w:rsidR="004D0170">
        <w:t xml:space="preserve">, we should not say that </w:t>
      </w:r>
      <w:r w:rsidR="0090160B">
        <w:t>your</w:t>
      </w:r>
      <w:r w:rsidR="004D0170">
        <w:t xml:space="preserve"> </w:t>
      </w:r>
      <w:r w:rsidR="00E14B40">
        <w:t xml:space="preserve">relatives’ interests really are relevant as reasons bearing on what </w:t>
      </w:r>
      <w:r w:rsidR="0090160B">
        <w:t>you</w:t>
      </w:r>
      <w:r w:rsidR="00E14B40">
        <w:t xml:space="preserve"> should do with the money, but that </w:t>
      </w:r>
      <w:r w:rsidR="0090160B">
        <w:t>you</w:t>
      </w:r>
      <w:r w:rsidR="00E14B40">
        <w:t xml:space="preserve"> must </w:t>
      </w:r>
      <w:r w:rsidR="0025203F">
        <w:lastRenderedPageBreak/>
        <w:t>prevent</w:t>
      </w:r>
      <w:r w:rsidR="00E14B40">
        <w:t xml:space="preserve"> them from </w:t>
      </w:r>
      <w:r w:rsidR="0025203F">
        <w:t xml:space="preserve">featuring in </w:t>
      </w:r>
      <w:r w:rsidR="0090160B">
        <w:t>your</w:t>
      </w:r>
      <w:r w:rsidR="00E14B40">
        <w:t xml:space="preserve"> deliberative thought in order to enable </w:t>
      </w:r>
      <w:r w:rsidR="0090160B">
        <w:t>your</w:t>
      </w:r>
      <w:r w:rsidR="00E14B40">
        <w:t xml:space="preserve"> action to be more effectively guided</w:t>
      </w:r>
      <w:r w:rsidR="0090160B">
        <w:t xml:space="preserve"> by those</w:t>
      </w:r>
      <w:r w:rsidR="0090160B" w:rsidRPr="0090160B">
        <w:t xml:space="preserve"> </w:t>
      </w:r>
      <w:r w:rsidR="0090160B">
        <w:t>reasons</w:t>
      </w:r>
      <w:r w:rsidR="00E14B40">
        <w:t xml:space="preserve">. Instead, we should say that they are irrelevant. In other contexts, </w:t>
      </w:r>
      <w:r w:rsidR="0090160B">
        <w:t>your</w:t>
      </w:r>
      <w:r w:rsidR="00E14B40">
        <w:t xml:space="preserve"> relatives’ welfare counts in favour of the actions that will benefit </w:t>
      </w:r>
      <w:proofErr w:type="gramStart"/>
      <w:r w:rsidR="00E14B40">
        <w:t>them;</w:t>
      </w:r>
      <w:proofErr w:type="gramEnd"/>
      <w:r w:rsidR="00E14B40">
        <w:t xml:space="preserve"> but not in the context of a fiduciary role. This kind of role </w:t>
      </w:r>
      <w:r w:rsidR="0090160B">
        <w:t>is</w:t>
      </w:r>
      <w:r w:rsidR="00E14B40">
        <w:t xml:space="preserve"> a context-underminer: it prevents facts about the promotion of </w:t>
      </w:r>
      <w:r w:rsidR="0090160B">
        <w:t>your</w:t>
      </w:r>
      <w:r w:rsidR="00E14B40">
        <w:t xml:space="preserve"> relatives’ welfare, which elsewhere have the status of reasons for </w:t>
      </w:r>
      <w:r w:rsidR="00544DDC">
        <w:t>actions of benefiting them, from having that status here.</w:t>
      </w:r>
    </w:p>
    <w:p w14:paraId="197E81DC" w14:textId="4F302518" w:rsidR="002B6976" w:rsidRPr="002B6976" w:rsidRDefault="00525A40" w:rsidP="002B6976">
      <w:pPr>
        <w:tabs>
          <w:tab w:val="left" w:pos="284"/>
          <w:tab w:val="left" w:pos="360"/>
        </w:tabs>
        <w:rPr>
          <w:i/>
        </w:rPr>
      </w:pPr>
      <w:r>
        <w:tab/>
      </w:r>
      <w:r w:rsidR="0090160B">
        <w:t>T</w:t>
      </w:r>
      <w:r>
        <w:t>o explain this</w:t>
      </w:r>
      <w:r w:rsidR="0090160B">
        <w:t>, we can begin</w:t>
      </w:r>
      <w:r>
        <w:t xml:space="preserve"> by saying that when you act as my trustee, you act</w:t>
      </w:r>
      <w:r w:rsidR="003E7A39">
        <w:t xml:space="preserve"> on </w:t>
      </w:r>
      <w:r w:rsidR="003E7A39">
        <w:rPr>
          <w:i/>
        </w:rPr>
        <w:t xml:space="preserve">my </w:t>
      </w:r>
      <w:r w:rsidR="003E7A39">
        <w:t>behalf,</w:t>
      </w:r>
      <w:r>
        <w:t xml:space="preserve"> rather </w:t>
      </w:r>
      <w:r w:rsidR="003E7A39">
        <w:t>than your own</w:t>
      </w:r>
      <w:r>
        <w:t xml:space="preserve">. </w:t>
      </w:r>
      <w:proofErr w:type="gramStart"/>
      <w:r>
        <w:t>So</w:t>
      </w:r>
      <w:proofErr w:type="gramEnd"/>
      <w:r>
        <w:t xml:space="preserve"> it is </w:t>
      </w:r>
      <w:r>
        <w:rPr>
          <w:i/>
        </w:rPr>
        <w:t xml:space="preserve">my </w:t>
      </w:r>
      <w:r>
        <w:t>interests, priorities and attachments that bear as reasons on how you spend money as my trustee, not your</w:t>
      </w:r>
      <w:r w:rsidR="003E7A39">
        <w:t>s</w:t>
      </w:r>
      <w:r>
        <w:t>. But that is only approximately right.</w:t>
      </w:r>
      <w:r w:rsidR="008813CA">
        <w:rPr>
          <w:rStyle w:val="EndnoteReference"/>
        </w:rPr>
        <w:endnoteReference w:id="18"/>
      </w:r>
      <w:r w:rsidR="005825F2">
        <w:t xml:space="preserve"> After all, there are agent-neutral reasons for me to promote </w:t>
      </w:r>
      <w:r w:rsidR="00B14EB6">
        <w:t xml:space="preserve">anyone’s welfare, including </w:t>
      </w:r>
      <w:r w:rsidR="005825F2">
        <w:t xml:space="preserve">your relatives’. </w:t>
      </w:r>
      <w:proofErr w:type="gramStart"/>
      <w:r w:rsidR="005825F2">
        <w:t>So</w:t>
      </w:r>
      <w:proofErr w:type="gramEnd"/>
      <w:r w:rsidR="005825F2">
        <w:t xml:space="preserve"> </w:t>
      </w:r>
      <w:r w:rsidR="00B419B6">
        <w:t xml:space="preserve">when we say that in acting as </w:t>
      </w:r>
      <w:r w:rsidR="005825F2">
        <w:t xml:space="preserve">my trustee </w:t>
      </w:r>
      <w:r w:rsidR="00B419B6">
        <w:t xml:space="preserve">you exercise my agency, this </w:t>
      </w:r>
      <w:r w:rsidR="005825F2">
        <w:t xml:space="preserve">does not fully explain why </w:t>
      </w:r>
      <w:r w:rsidR="00B419B6">
        <w:t>your relatives’ interests are disqualified as reasons. What needs to be added is that fiduciary agency is not just agency on another’s behalf</w:t>
      </w:r>
      <w:r w:rsidR="002B6976">
        <w:t xml:space="preserve"> – it is agency that is restricted to furthering a subset of the beneficiary’s interests (a subset that is specified in the fiduciary agreement</w:t>
      </w:r>
      <w:r w:rsidR="005F1BD8">
        <w:t xml:space="preserve"> you make</w:t>
      </w:r>
      <w:r w:rsidR="002B6976">
        <w:t>).</w:t>
      </w:r>
      <w:r w:rsidR="002B6976">
        <w:rPr>
          <w:rStyle w:val="EndnoteReference"/>
        </w:rPr>
        <w:endnoteReference w:id="19"/>
      </w:r>
      <w:r w:rsidR="002B6976">
        <w:t xml:space="preserve"> When you agree to act as my trustee, it is this kind of fiduciary agency that you are pro</w:t>
      </w:r>
      <w:r w:rsidR="003E7A39">
        <w:t>mising to exercise</w:t>
      </w:r>
      <w:r w:rsidR="002B6976">
        <w:t xml:space="preserve">. This is not to say that the reasons bearing on your fiduciary agency </w:t>
      </w:r>
      <w:r w:rsidR="0090160B">
        <w:t>are confined exclusively to facts about</w:t>
      </w:r>
      <w:r w:rsidR="002B6976">
        <w:t xml:space="preserve"> my interests. The fiduciary agency </w:t>
      </w:r>
      <w:r w:rsidR="0090160B">
        <w:t>you</w:t>
      </w:r>
      <w:r w:rsidR="002B6976">
        <w:t xml:space="preserve"> can</w:t>
      </w:r>
      <w:r w:rsidR="002B6976" w:rsidRPr="00DB1010">
        <w:t xml:space="preserve"> legitimately promise to exercise is constrained by o</w:t>
      </w:r>
      <w:r w:rsidR="0090160B">
        <w:t>ther morally relevant reasons. You</w:t>
      </w:r>
      <w:r w:rsidR="002B6976" w:rsidRPr="00DB1010">
        <w:t xml:space="preserve"> </w:t>
      </w:r>
      <w:r w:rsidR="002B6976">
        <w:t>cannot acquire a moral obligation to treat</w:t>
      </w:r>
      <w:r w:rsidR="002B6976" w:rsidRPr="00DB1010">
        <w:t xml:space="preserve"> other people </w:t>
      </w:r>
      <w:r w:rsidR="002B6976">
        <w:t xml:space="preserve">unjustly for </w:t>
      </w:r>
      <w:r w:rsidR="0090160B">
        <w:t>my</w:t>
      </w:r>
      <w:r w:rsidR="002B6976">
        <w:t xml:space="preserve"> </w:t>
      </w:r>
      <w:r w:rsidR="002B6976" w:rsidRPr="00DB1010">
        <w:t xml:space="preserve">benefit, </w:t>
      </w:r>
      <w:r w:rsidR="00B14EB6">
        <w:t>merely</w:t>
      </w:r>
      <w:r w:rsidR="002B6976" w:rsidRPr="00DB1010">
        <w:t xml:space="preserve"> by promising to do so.</w:t>
      </w:r>
      <w:r w:rsidR="00397969">
        <w:t xml:space="preserve"> But </w:t>
      </w:r>
      <w:r w:rsidR="0090160B">
        <w:t>you</w:t>
      </w:r>
      <w:r w:rsidR="00397969">
        <w:t xml:space="preserve"> can acquire an obligation to exercise a kind of agency on which a restricted range of reasons bears.</w:t>
      </w:r>
    </w:p>
    <w:p w14:paraId="32E9DD7C" w14:textId="6948AD42" w:rsidR="00397969" w:rsidRDefault="00397969" w:rsidP="00DB1010">
      <w:pPr>
        <w:tabs>
          <w:tab w:val="left" w:pos="284"/>
          <w:tab w:val="left" w:pos="360"/>
        </w:tabs>
      </w:pPr>
      <w:r>
        <w:tab/>
      </w:r>
      <w:r w:rsidR="00DB1010" w:rsidRPr="00DB1010">
        <w:t xml:space="preserve">That </w:t>
      </w:r>
      <w:r>
        <w:t>gives us</w:t>
      </w:r>
      <w:r w:rsidR="00DB1010" w:rsidRPr="00DB1010">
        <w:t xml:space="preserve"> one professional application</w:t>
      </w:r>
      <w:r>
        <w:t xml:space="preserve"> of context-undermining, to the fiduciary roles explicitly undertaken by s</w:t>
      </w:r>
      <w:r w:rsidR="00DB1010" w:rsidRPr="00DB1010">
        <w:t xml:space="preserve">ome professionals. </w:t>
      </w:r>
      <w:r>
        <w:t xml:space="preserve">However, there is a </w:t>
      </w:r>
      <w:r w:rsidR="00DB1010" w:rsidRPr="00DB1010">
        <w:t xml:space="preserve">broader range of cases to which a corresponding treatment applies. </w:t>
      </w:r>
    </w:p>
    <w:p w14:paraId="0D13E464" w14:textId="50407337" w:rsidR="00DB1010" w:rsidRDefault="00397969" w:rsidP="00DB1010">
      <w:pPr>
        <w:tabs>
          <w:tab w:val="left" w:pos="284"/>
          <w:tab w:val="left" w:pos="360"/>
        </w:tabs>
      </w:pPr>
      <w:r>
        <w:lastRenderedPageBreak/>
        <w:tab/>
      </w:r>
      <w:r w:rsidR="0090160B">
        <w:t>Another</w:t>
      </w:r>
      <w:r>
        <w:t xml:space="preserve"> </w:t>
      </w:r>
      <w:r w:rsidR="00154400">
        <w:t>kind of application is found in</w:t>
      </w:r>
      <w:r>
        <w:t xml:space="preserve"> the job committee </w:t>
      </w:r>
      <w:r w:rsidR="00154400">
        <w:t xml:space="preserve">example </w:t>
      </w:r>
      <w:r>
        <w:t xml:space="preserve">with which I began. </w:t>
      </w:r>
      <w:r w:rsidR="00DB1010" w:rsidRPr="00DB1010">
        <w:t>Here, you</w:t>
      </w:r>
      <w:r w:rsidR="0090160B">
        <w:t xml:space="preserve"> act</w:t>
      </w:r>
      <w:r>
        <w:t xml:space="preserve"> on behalf of an institution –</w:t>
      </w:r>
      <w:r w:rsidR="00DB1010" w:rsidRPr="00DB1010">
        <w:t xml:space="preserve"> exercising </w:t>
      </w:r>
      <w:r w:rsidRPr="00397969">
        <w:rPr>
          <w:i/>
        </w:rPr>
        <w:t>its</w:t>
      </w:r>
      <w:r w:rsidR="00DB1010" w:rsidRPr="00DB1010">
        <w:t xml:space="preserve"> agency </w:t>
      </w:r>
      <w:r>
        <w:t>–</w:t>
      </w:r>
      <w:r w:rsidR="00DB1010" w:rsidRPr="00DB1010">
        <w:t xml:space="preserve"> and this restricts the reasons that bear on how you discharge your institutional role.</w:t>
      </w:r>
      <w:r w:rsidR="00305041">
        <w:t xml:space="preserve"> It is not that you are literally </w:t>
      </w:r>
      <w:r w:rsidR="00AF7FD4">
        <w:t xml:space="preserve">acting as a trustee of the institution; but you are acting on </w:t>
      </w:r>
      <w:r w:rsidR="00AF7FD4">
        <w:rPr>
          <w:i/>
        </w:rPr>
        <w:t xml:space="preserve">its </w:t>
      </w:r>
      <w:r w:rsidR="00AF7FD4">
        <w:t xml:space="preserve">behalf, not your own, and this again plays a context-undermining role. There are many contexts in which </w:t>
      </w:r>
      <w:r w:rsidR="00AF7FD4" w:rsidRPr="00AF7FD4">
        <w:t>Smiley’s pleasure is a reason for actions that promote it</w:t>
      </w:r>
      <w:r w:rsidR="00AF7FD4">
        <w:t xml:space="preserve">; but in a context in which you are acting in your institutional role on the committee, it lacks the status of a reason for you to rank him </w:t>
      </w:r>
      <w:r w:rsidR="005F1BD8">
        <w:t>more highly</w:t>
      </w:r>
      <w:r w:rsidR="00AF7FD4">
        <w:t xml:space="preserve"> as a candidate for the job. </w:t>
      </w:r>
    </w:p>
    <w:p w14:paraId="198FF3CE" w14:textId="50E31A11" w:rsidR="00AF7FD4" w:rsidRDefault="00AF7FD4" w:rsidP="00DB1010">
      <w:pPr>
        <w:tabs>
          <w:tab w:val="left" w:pos="284"/>
          <w:tab w:val="left" w:pos="360"/>
        </w:tabs>
      </w:pPr>
      <w:r>
        <w:tab/>
        <w:t xml:space="preserve">For a third kind of case, consider acting as a doctor. If, in considering whether to recommend </w:t>
      </w:r>
      <w:r w:rsidR="007A5E5C">
        <w:t xml:space="preserve">surgery to your patients, you deliberate by weighing up their medical needs against the financial inducements offered by the implant manufacturer, you are deliberating badly, even if you conclude that the medical reasons prevail. It is wrong to think that the financial benefit to you is outweighed: it is medically irrelevant. </w:t>
      </w:r>
      <w:r w:rsidR="00294C0D">
        <w:t>This time, the point cannot be expressed by saying that you have been entrusted with exercising the agency of another agent. However, in presenting yourself as a doctor, you are assuring your patients that you will exercise a particular kind of agency – th</w:t>
      </w:r>
      <w:r w:rsidR="00D14A6C">
        <w:t xml:space="preserve">e agency </w:t>
      </w:r>
      <w:r w:rsidR="0090160B">
        <w:t>of</w:t>
      </w:r>
      <w:r w:rsidR="00D14A6C">
        <w:t xml:space="preserve"> someone acting in the capacity of a doctor. On actions performed in that capacity, the only considerations that have a bearing as reasons are medical reasons. As in the previous cases, your professional role specifies a certain kind of agency, and the reasons </w:t>
      </w:r>
      <w:r w:rsidR="0090160B">
        <w:t>bearing</w:t>
      </w:r>
      <w:r w:rsidR="00D14A6C">
        <w:t xml:space="preserve"> on the exercise of that kind of agency are restricted. </w:t>
      </w:r>
    </w:p>
    <w:p w14:paraId="4C7DC069" w14:textId="4690C545" w:rsidR="00DB1010" w:rsidRPr="00D3213E" w:rsidRDefault="00D14A6C" w:rsidP="00DB1010">
      <w:pPr>
        <w:tabs>
          <w:tab w:val="left" w:pos="284"/>
          <w:tab w:val="left" w:pos="360"/>
        </w:tabs>
      </w:pPr>
      <w:r>
        <w:tab/>
      </w:r>
      <w:r w:rsidR="0090160B">
        <w:t>To say this is not to be committed to an</w:t>
      </w:r>
      <w:r>
        <w:t xml:space="preserve"> absolutism about professional probity. There could presumably be circumstances of supreme emergency in which the trust attached to a professional role must be betrayed for some more important end. </w:t>
      </w:r>
      <w:r w:rsidR="0090160B">
        <w:t>But that can be</w:t>
      </w:r>
      <w:r>
        <w:t xml:space="preserve"> allowed for as follows. </w:t>
      </w:r>
      <w:r w:rsidR="002959FA">
        <w:t xml:space="preserve">Professional roles such as the three just described involve the exercise of a specific kind of agency – fiduciary, institutional, medical – on the exercise of which a restricted range of reasons bears. In presenting yourself as the occupant of such a role, </w:t>
      </w:r>
      <w:r w:rsidR="00D3213E">
        <w:t xml:space="preserve">you are promising </w:t>
      </w:r>
      <w:r w:rsidR="00D3213E">
        <w:lastRenderedPageBreak/>
        <w:t xml:space="preserve">(implicitly or explicitly) to exercise that agency. As with a promise of any other kind, there are conceivably circumstances in which such a promise must be broken, justifiably infringing the duty created by the promise. But when the circumstances are not exceptional, and you should keep your promise, you keep it by </w:t>
      </w:r>
      <w:r w:rsidR="00DB1010" w:rsidRPr="00DB1010">
        <w:t>exercising a kind of agency on which a restricted range of reasons bears.</w:t>
      </w:r>
      <w:r w:rsidR="00D3213E">
        <w:t xml:space="preserve"> In an emergency case, you may have to ask,</w:t>
      </w:r>
      <w:r w:rsidR="00DB1010" w:rsidRPr="00DB1010">
        <w:t xml:space="preserve"> “Should I</w:t>
      </w:r>
      <w:r w:rsidR="00D3213E">
        <w:t xml:space="preserve"> deceptively act like a doctor?” But that is a different question from,</w:t>
      </w:r>
      <w:r w:rsidR="00DB1010" w:rsidRPr="00DB1010">
        <w:t xml:space="preserve"> “How should I act as a doctor?”</w:t>
      </w:r>
      <w:r w:rsidR="00D3213E">
        <w:t xml:space="preserve"> On the latter question, only medical reasons bear.</w:t>
      </w:r>
    </w:p>
    <w:p w14:paraId="728359C7" w14:textId="1B4698D8" w:rsidR="004D0170" w:rsidRDefault="004D0170" w:rsidP="00DB1010">
      <w:pPr>
        <w:tabs>
          <w:tab w:val="left" w:pos="284"/>
          <w:tab w:val="left" w:pos="360"/>
        </w:tabs>
      </w:pPr>
    </w:p>
    <w:p w14:paraId="7E62576E" w14:textId="23A18C5A" w:rsidR="004D0170" w:rsidRPr="007B440D" w:rsidRDefault="004D0170" w:rsidP="007B440D">
      <w:pPr>
        <w:tabs>
          <w:tab w:val="left" w:pos="284"/>
          <w:tab w:val="left" w:pos="360"/>
        </w:tabs>
        <w:jc w:val="center"/>
        <w:rPr>
          <w:b/>
        </w:rPr>
      </w:pPr>
      <w:r w:rsidRPr="007B440D">
        <w:rPr>
          <w:b/>
        </w:rPr>
        <w:t>II</w:t>
      </w:r>
      <w:r w:rsidR="007B440D" w:rsidRPr="007B440D">
        <w:rPr>
          <w:b/>
        </w:rPr>
        <w:t>I: Why Context-Undermining?</w:t>
      </w:r>
    </w:p>
    <w:p w14:paraId="079213AB" w14:textId="4B8B356E" w:rsidR="007B440D" w:rsidRDefault="007B440D" w:rsidP="007B440D">
      <w:pPr>
        <w:tabs>
          <w:tab w:val="left" w:pos="284"/>
          <w:tab w:val="left" w:pos="360"/>
        </w:tabs>
      </w:pPr>
    </w:p>
    <w:p w14:paraId="368D875E" w14:textId="4A5FE51F" w:rsidR="007B440D" w:rsidRDefault="008E10B1" w:rsidP="007B440D">
      <w:pPr>
        <w:tabs>
          <w:tab w:val="left" w:pos="284"/>
          <w:tab w:val="left" w:pos="360"/>
        </w:tabs>
      </w:pPr>
      <w:r>
        <w:t>That sets out my</w:t>
      </w:r>
      <w:r w:rsidR="007B440D">
        <w:t xml:space="preserve"> interpretation </w:t>
      </w:r>
      <w:r>
        <w:t>of</w:t>
      </w:r>
      <w:r w:rsidR="007B440D">
        <w:t xml:space="preserve"> fiduciary, institutional and medical agency</w:t>
      </w:r>
      <w:r>
        <w:t xml:space="preserve">: they </w:t>
      </w:r>
      <w:r w:rsidR="008F58DC">
        <w:t>give us</w:t>
      </w:r>
      <w:r>
        <w:t xml:space="preserve"> cases of</w:t>
      </w:r>
      <w:r w:rsidR="007B440D">
        <w:t xml:space="preserve"> context-undermining, in which the professional context deprives personal considerations of the reason-giving status they would otherwise have.</w:t>
      </w:r>
    </w:p>
    <w:p w14:paraId="5158D444" w14:textId="28D0DC48" w:rsidR="00DD1DB0" w:rsidRDefault="007B440D" w:rsidP="007B440D">
      <w:pPr>
        <w:tabs>
          <w:tab w:val="left" w:pos="284"/>
          <w:tab w:val="left" w:pos="360"/>
        </w:tabs>
      </w:pPr>
      <w:r>
        <w:tab/>
        <w:t xml:space="preserve">However, let us pause to consider whether this can be resisted. </w:t>
      </w:r>
      <w:r w:rsidR="00541502">
        <w:t xml:space="preserve">Is it really so implausible to think that the personal considerations in these cases are persisting reasons that should be either </w:t>
      </w:r>
      <w:r w:rsidR="00BD5D41">
        <w:t>disregarded in</w:t>
      </w:r>
      <w:r w:rsidR="00541502">
        <w:t xml:space="preserve"> deliberative thought or excluded from action-guidance (or both)? It is true that that is not well explained, </w:t>
      </w:r>
      <w:r w:rsidR="000A082B">
        <w:t>in the manner of</w:t>
      </w:r>
      <w:r w:rsidR="00541502">
        <w:t xml:space="preserve"> Section I, by saying that these are reasons that must be </w:t>
      </w:r>
      <w:r w:rsidR="00BD5D41">
        <w:t>kept</w:t>
      </w:r>
      <w:r w:rsidR="00541502">
        <w:t xml:space="preserve"> from the forefront of your thought in order to allow you to do what they recommend. But there is another straightforward possibility. Why not </w:t>
      </w:r>
      <w:r w:rsidR="008F58DC">
        <w:t xml:space="preserve">just </w:t>
      </w:r>
      <w:r w:rsidR="00541502">
        <w:t xml:space="preserve">say that, </w:t>
      </w:r>
      <w:r w:rsidR="004468EE">
        <w:t>in presenting</w:t>
      </w:r>
      <w:r w:rsidR="00541502">
        <w:t xml:space="preserve"> yourself as the occupant of one of </w:t>
      </w:r>
      <w:r w:rsidR="000A082B">
        <w:t>these professional</w:t>
      </w:r>
      <w:r w:rsidR="00541502">
        <w:t xml:space="preserve"> roles, </w:t>
      </w:r>
      <w:r w:rsidR="004468EE">
        <w:t>you have implicitly promised</w:t>
      </w:r>
      <w:r w:rsidR="00DD1DB0">
        <w:t xml:space="preserve"> to consider and act on a restricted range of your reasons? There is no need to deny that they </w:t>
      </w:r>
      <w:r w:rsidR="00DD1DB0">
        <w:rPr>
          <w:i/>
        </w:rPr>
        <w:t>are</w:t>
      </w:r>
      <w:r w:rsidR="00DD1DB0">
        <w:t xml:space="preserve"> reasons. </w:t>
      </w:r>
      <w:r w:rsidR="000A082B">
        <w:t>They could be reasons that you have promised</w:t>
      </w:r>
      <w:r w:rsidR="00DD1DB0">
        <w:t xml:space="preserve"> to discount in your deliberation and action. </w:t>
      </w:r>
      <w:r w:rsidR="000A082B">
        <w:t>When you make such a</w:t>
      </w:r>
      <w:r w:rsidR="00DD1DB0">
        <w:t xml:space="preserve"> promise, </w:t>
      </w:r>
      <w:proofErr w:type="spellStart"/>
      <w:r w:rsidR="008E10B1">
        <w:t>your</w:t>
      </w:r>
      <w:proofErr w:type="spellEnd"/>
      <w:r w:rsidR="008E10B1">
        <w:t xml:space="preserve"> having done so</w:t>
      </w:r>
      <w:r w:rsidR="00DD1DB0">
        <w:t xml:space="preserve"> is a further reason to conduct yourself in the way you have promised. In this way, we can account for the difference that occupying the </w:t>
      </w:r>
      <w:r w:rsidR="00DD1DB0">
        <w:lastRenderedPageBreak/>
        <w:t>professional role makes to how you ought to think and act, without having to introduce the extra apparatus of context-undermining. Since this is a simpler, more straightforward explanation, we should prefer it.</w:t>
      </w:r>
    </w:p>
    <w:p w14:paraId="0D4718D9" w14:textId="77777777" w:rsidR="000A082B" w:rsidRDefault="00DD1DB0" w:rsidP="00D13AA8">
      <w:pPr>
        <w:pStyle w:val="ListBullet"/>
        <w:numPr>
          <w:ilvl w:val="0"/>
          <w:numId w:val="0"/>
        </w:numPr>
        <w:tabs>
          <w:tab w:val="left" w:pos="284"/>
        </w:tabs>
      </w:pPr>
      <w:r>
        <w:tab/>
        <w:t xml:space="preserve">My response to this is that this alternative treatment is </w:t>
      </w:r>
      <w:r>
        <w:rPr>
          <w:i/>
        </w:rPr>
        <w:t>too</w:t>
      </w:r>
      <w:r>
        <w:t xml:space="preserve"> simple to be plausible. It </w:t>
      </w:r>
      <w:r w:rsidR="002E3385">
        <w:t xml:space="preserve">systematically fails to account for the difference there can be between acting to achieve a personal end </w:t>
      </w:r>
      <w:r w:rsidR="002E3385">
        <w:rPr>
          <w:i/>
        </w:rPr>
        <w:t>instead of</w:t>
      </w:r>
      <w:r w:rsidR="002E3385">
        <w:t xml:space="preserve"> acting in a professional </w:t>
      </w:r>
      <w:proofErr w:type="gramStart"/>
      <w:r w:rsidR="002E3385">
        <w:t>role, and</w:t>
      </w:r>
      <w:proofErr w:type="gramEnd"/>
      <w:r w:rsidR="002E3385">
        <w:t xml:space="preserve"> acting to achieve that end </w:t>
      </w:r>
      <w:r w:rsidR="002E3385">
        <w:rPr>
          <w:i/>
        </w:rPr>
        <w:t>by</w:t>
      </w:r>
      <w:r w:rsidR="002E3385">
        <w:t xml:space="preserve"> acting in the role.</w:t>
      </w:r>
      <w:r w:rsidR="00004F2C">
        <w:t xml:space="preserve"> </w:t>
      </w:r>
    </w:p>
    <w:p w14:paraId="440C8581" w14:textId="6017149F" w:rsidR="00DD1DB0" w:rsidRDefault="000A082B" w:rsidP="00D13AA8">
      <w:pPr>
        <w:pStyle w:val="ListBullet"/>
        <w:numPr>
          <w:ilvl w:val="0"/>
          <w:numId w:val="0"/>
        </w:numPr>
        <w:tabs>
          <w:tab w:val="left" w:pos="284"/>
        </w:tabs>
      </w:pPr>
      <w:r>
        <w:tab/>
      </w:r>
      <w:r w:rsidR="00004F2C">
        <w:t xml:space="preserve">To see this, </w:t>
      </w:r>
      <w:r w:rsidR="008E10B1">
        <w:t>return</w:t>
      </w:r>
      <w:r w:rsidR="00004F2C">
        <w:t xml:space="preserve"> to the fiduciary case</w:t>
      </w:r>
      <w:r w:rsidR="008E10B1">
        <w:t xml:space="preserve"> in which you</w:t>
      </w:r>
      <w:r w:rsidR="00D13AA8">
        <w:t xml:space="preserve"> are </w:t>
      </w:r>
      <w:r w:rsidR="00AB101B">
        <w:t xml:space="preserve">a trustee </w:t>
      </w:r>
      <w:r w:rsidR="00D13AA8">
        <w:t xml:space="preserve">managing a fund for my benefit. </w:t>
      </w:r>
      <w:r w:rsidR="008E10B1">
        <w:t>Suppose that o</w:t>
      </w:r>
      <w:r w:rsidR="00E14140">
        <w:t>ne morning, you become acquainted with two facts – one professional and the other personal. The professional fact is that y</w:t>
      </w:r>
      <w:r w:rsidR="00AB101B">
        <w:t xml:space="preserve">ou have </w:t>
      </w:r>
      <w:r w:rsidR="00E14140">
        <w:t>until the end of the day</w:t>
      </w:r>
      <w:r w:rsidR="00AB101B">
        <w:t xml:space="preserve"> to invest money from </w:t>
      </w:r>
      <w:r w:rsidR="008E10B1">
        <w:t>my</w:t>
      </w:r>
      <w:r w:rsidR="00AB101B">
        <w:t xml:space="preserve"> fund in a high-value asset A</w:t>
      </w:r>
      <w:r w:rsidR="00E14140">
        <w:t>: if you miss this</w:t>
      </w:r>
      <w:r w:rsidR="00AB101B">
        <w:t xml:space="preserve"> deadline, you will only be able to secure lower-value asset B. </w:t>
      </w:r>
      <w:r w:rsidR="00E14140">
        <w:t>The personal fact is that</w:t>
      </w:r>
      <w:r w:rsidR="00AB101B">
        <w:t xml:space="preserve"> your son’s business is in </w:t>
      </w:r>
      <w:r w:rsidR="008E10B1">
        <w:t xml:space="preserve">immediate </w:t>
      </w:r>
      <w:r w:rsidR="00AB101B">
        <w:t xml:space="preserve">jeopardy. </w:t>
      </w:r>
      <w:r w:rsidR="00E14140">
        <w:t>A customer</w:t>
      </w:r>
      <w:r w:rsidR="00AB101B">
        <w:t xml:space="preserve"> owes him money</w:t>
      </w:r>
      <w:r w:rsidR="00E14140">
        <w:t xml:space="preserve"> and is at risk of defaulting on the payment: if this happens, the business will go under. </w:t>
      </w:r>
      <w:r>
        <w:t xml:space="preserve">He urgently needs help to prevent this from happening. </w:t>
      </w:r>
      <w:r w:rsidR="00E14140">
        <w:t>Now consider two variants of this case.</w:t>
      </w:r>
    </w:p>
    <w:p w14:paraId="6851172C" w14:textId="4CB8B10E" w:rsidR="00E14140" w:rsidRDefault="00E14140" w:rsidP="00410DF5">
      <w:pPr>
        <w:pStyle w:val="ListBullet"/>
        <w:numPr>
          <w:ilvl w:val="0"/>
          <w:numId w:val="0"/>
        </w:numPr>
        <w:tabs>
          <w:tab w:val="left" w:pos="284"/>
        </w:tabs>
        <w:ind w:left="567"/>
      </w:pPr>
      <w:r>
        <w:t xml:space="preserve">(a) You spend the day helping your son to secure alternative finance for his business. The son’s business survives; </w:t>
      </w:r>
      <w:r w:rsidR="000A082B">
        <w:t xml:space="preserve">but </w:t>
      </w:r>
      <w:r>
        <w:t xml:space="preserve">you miss out on </w:t>
      </w:r>
      <w:r w:rsidR="00A36B75">
        <w:t>investing in asset A for me and secure only B.</w:t>
      </w:r>
    </w:p>
    <w:p w14:paraId="55C2889E" w14:textId="6C92D720" w:rsidR="00A36B75" w:rsidRDefault="00A36B75" w:rsidP="00E14140">
      <w:pPr>
        <w:pStyle w:val="ListBullet"/>
        <w:numPr>
          <w:ilvl w:val="0"/>
          <w:numId w:val="0"/>
        </w:numPr>
        <w:tabs>
          <w:tab w:val="left" w:pos="284"/>
        </w:tabs>
        <w:ind w:left="567"/>
      </w:pPr>
      <w:r>
        <w:t xml:space="preserve">(b) Lacking a means of helping your son, you spend the day arranging for the purchase of asset A from </w:t>
      </w:r>
      <w:r w:rsidR="005F1BD8">
        <w:t>my</w:t>
      </w:r>
      <w:r>
        <w:t xml:space="preserve"> fund. However, your preoccupation with your son’s plight is distracting, and despite applying yourself conscientiously, </w:t>
      </w:r>
      <w:r w:rsidR="008E10B1">
        <w:t>you</w:t>
      </w:r>
      <w:r w:rsidR="00613C3C">
        <w:t xml:space="preserve"> make an error in the paperwork, with the result that</w:t>
      </w:r>
      <w:r>
        <w:t xml:space="preserve"> you</w:t>
      </w:r>
      <w:r w:rsidR="008E10B1">
        <w:t>r attempt</w:t>
      </w:r>
      <w:r>
        <w:t xml:space="preserve"> to purchase A</w:t>
      </w:r>
      <w:r w:rsidR="008E10B1">
        <w:t xml:space="preserve"> fails and you</w:t>
      </w:r>
      <w:r>
        <w:t xml:space="preserve"> secure only B. Surprisingly, it </w:t>
      </w:r>
      <w:r w:rsidR="008E10B1">
        <w:t xml:space="preserve">then </w:t>
      </w:r>
      <w:r>
        <w:t>turns out that the seller of B is your son’s customer. The customer is therefore able to pay your son, whose business survives.</w:t>
      </w:r>
    </w:p>
    <w:p w14:paraId="5CD48F9B" w14:textId="60685858" w:rsidR="00410DF5" w:rsidRDefault="00410DF5" w:rsidP="007B440D">
      <w:pPr>
        <w:tabs>
          <w:tab w:val="left" w:pos="284"/>
          <w:tab w:val="left" w:pos="360"/>
        </w:tabs>
      </w:pPr>
      <w:r>
        <w:lastRenderedPageBreak/>
        <w:tab/>
      </w:r>
      <w:r w:rsidR="000A082B">
        <w:t xml:space="preserve">These two cases </w:t>
      </w:r>
      <w:r w:rsidR="008E10B1">
        <w:t>have the same upshot: you purchase only B</w:t>
      </w:r>
      <w:r w:rsidR="00B9307A">
        <w:t>;</w:t>
      </w:r>
      <w:r w:rsidR="008E10B1">
        <w:t xml:space="preserve"> your son’s business survives</w:t>
      </w:r>
      <w:r w:rsidR="000A082B">
        <w:t>.</w:t>
      </w:r>
      <w:r w:rsidR="008E10B1">
        <w:t xml:space="preserve"> But there is an important difference between them.</w:t>
      </w:r>
      <w:r w:rsidR="000A082B">
        <w:t xml:space="preserve"> </w:t>
      </w:r>
      <w:r>
        <w:t xml:space="preserve">In case (a), you face a choice between </w:t>
      </w:r>
      <w:r w:rsidR="008E10B1">
        <w:t>acting in two different capacities</w:t>
      </w:r>
      <w:r>
        <w:t xml:space="preserve">. You could perform </w:t>
      </w:r>
      <w:r w:rsidR="008E10B1">
        <w:t>a</w:t>
      </w:r>
      <w:r>
        <w:t xml:space="preserve"> professional action, </w:t>
      </w:r>
      <w:r w:rsidR="008E10B1">
        <w:t>working</w:t>
      </w:r>
      <w:r>
        <w:t xml:space="preserve"> in your professional role to </w:t>
      </w:r>
      <w:r w:rsidR="008E10B1">
        <w:t>invest</w:t>
      </w:r>
      <w:r>
        <w:t xml:space="preserve"> the money in my fund; or you could instead perform a personal action, helping your son. </w:t>
      </w:r>
      <w:r w:rsidR="008F58DC">
        <w:t>In making that choice</w:t>
      </w:r>
      <w:r>
        <w:t>, you must balance two sets of competing reasons</w:t>
      </w:r>
      <w:r w:rsidR="00226BE6">
        <w:t>:</w:t>
      </w:r>
      <w:r>
        <w:t xml:space="preserve"> the reasons </w:t>
      </w:r>
      <w:r w:rsidR="00226BE6">
        <w:t>you have</w:t>
      </w:r>
      <w:r>
        <w:t xml:space="preserve"> to act as an agent of my financial interests, and the reasons </w:t>
      </w:r>
      <w:r w:rsidR="00226BE6">
        <w:t>you have</w:t>
      </w:r>
      <w:r>
        <w:t xml:space="preserve"> to help your son</w:t>
      </w:r>
      <w:r w:rsidR="00226BE6">
        <w:t xml:space="preserve"> instead</w:t>
      </w:r>
      <w:r>
        <w:t xml:space="preserve">. </w:t>
      </w:r>
      <w:r w:rsidR="00226BE6">
        <w:t xml:space="preserve">What you </w:t>
      </w:r>
      <w:r w:rsidR="00B9307A">
        <w:t>ought to</w:t>
      </w:r>
      <w:r w:rsidR="00226BE6">
        <w:t xml:space="preserve"> do depends</w:t>
      </w:r>
      <w:r>
        <w:t xml:space="preserve"> on how much is at stake for your son, and how much worse it will be for me if my fund is invested in B rather than A</w:t>
      </w:r>
      <w:r w:rsidR="00226BE6">
        <w:t xml:space="preserve">. </w:t>
      </w:r>
      <w:r w:rsidR="00B9307A">
        <w:t>I</w:t>
      </w:r>
      <w:r w:rsidR="00226BE6">
        <w:t xml:space="preserve">f the calamity for your son is bad enough, and the missed investment opportunity is within the ordinary bounds of market fortune, it could be that you </w:t>
      </w:r>
      <w:r w:rsidR="00B9307A">
        <w:t>ought to</w:t>
      </w:r>
      <w:r w:rsidR="00226BE6">
        <w:t xml:space="preserve"> help your son. Sometimes, you </w:t>
      </w:r>
      <w:r w:rsidR="00B9307A">
        <w:t>ought to</w:t>
      </w:r>
      <w:r w:rsidR="00226BE6">
        <w:t xml:space="preserve"> attend to a </w:t>
      </w:r>
      <w:r w:rsidR="008E10B1">
        <w:t xml:space="preserve">serious </w:t>
      </w:r>
      <w:r w:rsidR="00226BE6">
        <w:t>personal emergency instead of acting in a professional role.</w:t>
      </w:r>
    </w:p>
    <w:p w14:paraId="1D6F0B0E" w14:textId="6CB17DC2" w:rsidR="00226BE6" w:rsidRPr="006A6617" w:rsidRDefault="00226BE6" w:rsidP="007B440D">
      <w:pPr>
        <w:tabs>
          <w:tab w:val="left" w:pos="284"/>
          <w:tab w:val="left" w:pos="360"/>
        </w:tabs>
      </w:pPr>
      <w:r>
        <w:tab/>
        <w:t xml:space="preserve">Case (b) has a different structure. </w:t>
      </w:r>
      <w:r w:rsidR="000A082B">
        <w:t>Here, the benefit to your son</w:t>
      </w:r>
      <w:r w:rsidR="00E01557">
        <w:t xml:space="preserve"> is produced </w:t>
      </w:r>
      <w:r w:rsidR="00E01557">
        <w:rPr>
          <w:i/>
        </w:rPr>
        <w:t>by</w:t>
      </w:r>
      <w:r w:rsidR="00E01557">
        <w:t xml:space="preserve"> acting in your professional capacity, rather than instead of acting in that capacity. </w:t>
      </w:r>
      <w:r w:rsidR="000A082B">
        <w:t>That is not to say that there is any corruption or embezzlement. A benefit to your son results from your action, but it is produced without connivance, unwittingly. However, suppose</w:t>
      </w:r>
      <w:r w:rsidR="006A6617">
        <w:t xml:space="preserve"> we ask,</w:t>
      </w:r>
      <w:r w:rsidR="00E01557">
        <w:t xml:space="preserve"> “</w:t>
      </w:r>
      <w:r w:rsidR="00DE3AA1">
        <w:rPr>
          <w:i/>
        </w:rPr>
        <w:t>Ought</w:t>
      </w:r>
      <w:r w:rsidR="00E01557">
        <w:t xml:space="preserve"> you </w:t>
      </w:r>
      <w:r w:rsidR="00DE3AA1">
        <w:t xml:space="preserve">to </w:t>
      </w:r>
      <w:r w:rsidR="00E01557">
        <w:t>have invested in B rather than A?”</w:t>
      </w:r>
      <w:r w:rsidR="006A6617">
        <w:t xml:space="preserve"> – expressing when we do so a question not about the blameworthiness of your action but about the balance of objective reasons bearing on it. </w:t>
      </w:r>
      <w:r w:rsidR="005F1BD8">
        <w:t>Let’s say you ring</w:t>
      </w:r>
      <w:r w:rsidR="006A6617">
        <w:t xml:space="preserve"> an advisor </w:t>
      </w:r>
      <w:r w:rsidR="00DE3AA1">
        <w:t xml:space="preserve">who knows all the facts </w:t>
      </w:r>
      <w:r w:rsidR="005F1BD8">
        <w:t xml:space="preserve">and </w:t>
      </w:r>
      <w:r w:rsidR="00154400">
        <w:t xml:space="preserve">you </w:t>
      </w:r>
      <w:r w:rsidR="005F1BD8">
        <w:t>ask, “Which form ought I to sign</w:t>
      </w:r>
      <w:r w:rsidR="006A6617">
        <w:t>?</w:t>
      </w:r>
      <w:r w:rsidR="005F1BD8">
        <w:t>”</w:t>
      </w:r>
      <w:r w:rsidR="006A6617">
        <w:t xml:space="preserve"> The </w:t>
      </w:r>
      <w:r w:rsidR="005F1BD8">
        <w:t xml:space="preserve">only proper </w:t>
      </w:r>
      <w:r w:rsidR="006A6617">
        <w:t xml:space="preserve">answer is that you </w:t>
      </w:r>
      <w:r w:rsidR="00DE3AA1">
        <w:t>ought to</w:t>
      </w:r>
      <w:r w:rsidR="006A6617">
        <w:t xml:space="preserve"> </w:t>
      </w:r>
      <w:r w:rsidR="005F1BD8">
        <w:t xml:space="preserve">sign the </w:t>
      </w:r>
      <w:r w:rsidR="00154400">
        <w:t xml:space="preserve">form for </w:t>
      </w:r>
      <w:r w:rsidR="005F1BD8">
        <w:t>investment</w:t>
      </w:r>
      <w:r w:rsidR="006A6617">
        <w:t xml:space="preserve"> A. </w:t>
      </w:r>
      <w:r w:rsidR="00154400">
        <w:t>Signing the other form will have</w:t>
      </w:r>
      <w:r w:rsidR="00AB67F9">
        <w:t xml:space="preserve"> </w:t>
      </w:r>
      <w:r w:rsidR="006A6617">
        <w:t xml:space="preserve">a happy outcome for your son. But </w:t>
      </w:r>
      <w:r w:rsidR="008E10B1">
        <w:t>you could not properly be advised, acting as my trustee,</w:t>
      </w:r>
      <w:r w:rsidR="006A6617">
        <w:t xml:space="preserve"> to invest in B for that reason. </w:t>
      </w:r>
      <w:r w:rsidR="00154400">
        <w:t>In case (b), t</w:t>
      </w:r>
      <w:r w:rsidR="00DE3AA1">
        <w:t xml:space="preserve">he happy outcome </w:t>
      </w:r>
      <w:r w:rsidR="00AB67F9">
        <w:t>is the result of</w:t>
      </w:r>
      <w:r w:rsidR="00DE3AA1">
        <w:t xml:space="preserve"> an error</w:t>
      </w:r>
      <w:r w:rsidR="008E10B1">
        <w:t xml:space="preserve"> in your fiduciary action</w:t>
      </w:r>
      <w:r w:rsidR="00DE3AA1">
        <w:t xml:space="preserve">: you ought to have invested in A, not B. </w:t>
      </w:r>
      <w:r w:rsidR="006A6617">
        <w:t xml:space="preserve">In contrast, the balance of reasons in case (a) could favour helping your son. </w:t>
      </w:r>
      <w:r w:rsidR="00AB67F9">
        <w:t>There, it could be correct to advise you</w:t>
      </w:r>
      <w:r w:rsidR="00DE3AA1">
        <w:t xml:space="preserve"> that you ought to do that</w:t>
      </w:r>
      <w:r w:rsidR="006A6617">
        <w:t xml:space="preserve"> </w:t>
      </w:r>
      <w:r w:rsidR="006A6617">
        <w:rPr>
          <w:i/>
        </w:rPr>
        <w:t>instead of</w:t>
      </w:r>
      <w:r w:rsidR="006A6617">
        <w:t xml:space="preserve"> acting in your professional role.</w:t>
      </w:r>
    </w:p>
    <w:p w14:paraId="236480FA" w14:textId="24806A53" w:rsidR="00226BE6" w:rsidRDefault="00DE3AA1" w:rsidP="007B440D">
      <w:pPr>
        <w:tabs>
          <w:tab w:val="left" w:pos="284"/>
          <w:tab w:val="left" w:pos="360"/>
        </w:tabs>
      </w:pPr>
      <w:r>
        <w:lastRenderedPageBreak/>
        <w:tab/>
      </w:r>
      <w:r w:rsidR="00B9307A">
        <w:t>A</w:t>
      </w:r>
      <w:r>
        <w:t xml:space="preserve"> context-undermining interpretation</w:t>
      </w:r>
      <w:r w:rsidR="00B9307A">
        <w:t xml:space="preserve"> of the case</w:t>
      </w:r>
      <w:r>
        <w:t xml:space="preserve"> makes sense of this difference. It allows that in (a) the personal considerations can bear on </w:t>
      </w:r>
      <w:r w:rsidR="00CA311B">
        <w:t>which action to perform, personal or professional</w:t>
      </w:r>
      <w:r>
        <w:t xml:space="preserve">; but it insists that in (b), the personal considerations lack the status of reasons bearing on </w:t>
      </w:r>
      <w:r w:rsidR="008E10B1">
        <w:t>how you exercise fiduciary</w:t>
      </w:r>
      <w:r>
        <w:t xml:space="preserve"> agency </w:t>
      </w:r>
      <w:r w:rsidR="008E10B1">
        <w:t>when acting</w:t>
      </w:r>
      <w:r>
        <w:t xml:space="preserve"> in your professional role. That is why </w:t>
      </w:r>
      <w:r w:rsidR="00503A04">
        <w:t>you ought to perform the action that helps your son in (a) but not in (b).</w:t>
      </w:r>
    </w:p>
    <w:p w14:paraId="17A5FCEB" w14:textId="7A301DE1" w:rsidR="00503A04" w:rsidRDefault="00503A04" w:rsidP="007B440D">
      <w:pPr>
        <w:tabs>
          <w:tab w:val="left" w:pos="284"/>
          <w:tab w:val="left" w:pos="360"/>
        </w:tabs>
      </w:pPr>
      <w:r>
        <w:tab/>
        <w:t xml:space="preserve">One might try responding that </w:t>
      </w:r>
      <w:r w:rsidR="008E10B1">
        <w:t xml:space="preserve">the difference between the cases can be explained </w:t>
      </w:r>
      <w:r w:rsidR="00B9307A">
        <w:t xml:space="preserve">equally well </w:t>
      </w:r>
      <w:r w:rsidR="008E10B1">
        <w:t xml:space="preserve">without context-undermining, because </w:t>
      </w:r>
      <w:r>
        <w:t xml:space="preserve">the promise you make in agreeing to be my trustee is broken in (b) but not in (a). You promise that, </w:t>
      </w:r>
      <w:r>
        <w:rPr>
          <w:i/>
        </w:rPr>
        <w:t>when</w:t>
      </w:r>
      <w:r>
        <w:t xml:space="preserve"> you are acting in your professional capacity, you will </w:t>
      </w:r>
      <w:r w:rsidR="000E59AA">
        <w:t xml:space="preserve">do what furthers my financial interests. But this is unconvincing. Your promise does not have </w:t>
      </w:r>
      <w:r w:rsidR="0036370E">
        <w:t>that</w:t>
      </w:r>
      <w:r w:rsidR="000E59AA">
        <w:t xml:space="preserve"> merely conditional structure: </w:t>
      </w:r>
      <w:r w:rsidR="007C4354">
        <w:t>failing to turn up for work at all would not be a way of</w:t>
      </w:r>
      <w:r w:rsidR="000E59AA">
        <w:t xml:space="preserve"> </w:t>
      </w:r>
      <w:r w:rsidR="007C4354">
        <w:t>ensuring that you do not break</w:t>
      </w:r>
      <w:r w:rsidR="000E59AA">
        <w:t xml:space="preserve"> your promise. You</w:t>
      </w:r>
      <w:r w:rsidR="00154400">
        <w:t>r promise is a promise</w:t>
      </w:r>
      <w:r w:rsidR="000E59AA">
        <w:t xml:space="preserve"> </w:t>
      </w:r>
      <w:r w:rsidR="000E59AA">
        <w:rPr>
          <w:i/>
        </w:rPr>
        <w:t>to act</w:t>
      </w:r>
      <w:r w:rsidR="000E59AA">
        <w:t xml:space="preserve"> in </w:t>
      </w:r>
      <w:r w:rsidR="00462D82">
        <w:t>that</w:t>
      </w:r>
      <w:r w:rsidR="000E59AA">
        <w:t xml:space="preserve"> capacity. </w:t>
      </w:r>
      <w:proofErr w:type="gramStart"/>
      <w:r w:rsidR="000E59AA">
        <w:t>So</w:t>
      </w:r>
      <w:proofErr w:type="gramEnd"/>
      <w:r w:rsidR="000E59AA">
        <w:t xml:space="preserve"> the promise is broken in (a), albeit </w:t>
      </w:r>
      <w:r w:rsidR="0036370E">
        <w:t>justifiably</w:t>
      </w:r>
      <w:r w:rsidR="000E59AA">
        <w:t xml:space="preserve">. The </w:t>
      </w:r>
      <w:r w:rsidR="0036370E">
        <w:t>justification</w:t>
      </w:r>
      <w:r w:rsidR="000E59AA">
        <w:t xml:space="preserve"> comes from the weighty personal considerations. If those considerations were available as equally weighty reasons in (b), the promise-breaking would have to be equally </w:t>
      </w:r>
      <w:r w:rsidR="0036370E">
        <w:t>justifiable</w:t>
      </w:r>
      <w:r w:rsidR="000E59AA">
        <w:t xml:space="preserve"> there too. But it is not.</w:t>
      </w:r>
      <w:r w:rsidR="0036370E">
        <w:rPr>
          <w:rStyle w:val="EndnoteReference"/>
        </w:rPr>
        <w:endnoteReference w:id="20"/>
      </w:r>
      <w:r w:rsidR="000E59AA">
        <w:t xml:space="preserve"> </w:t>
      </w:r>
      <w:r w:rsidR="007C4354">
        <w:t>If we reject</w:t>
      </w:r>
      <w:r w:rsidR="000E59AA">
        <w:t xml:space="preserve"> the context-undermining interpretation</w:t>
      </w:r>
      <w:r w:rsidR="007C4354">
        <w:t xml:space="preserve">, we are left with </w:t>
      </w:r>
      <w:r w:rsidR="000E59AA">
        <w:t xml:space="preserve">a view on which there is the same balance of reasons in (a) and (b), </w:t>
      </w:r>
      <w:r w:rsidR="00462D82">
        <w:t>with</w:t>
      </w:r>
      <w:r w:rsidR="000E59AA">
        <w:t xml:space="preserve"> the strength of the promise </w:t>
      </w:r>
      <w:r w:rsidR="00462D82">
        <w:t xml:space="preserve">weighing </w:t>
      </w:r>
      <w:r w:rsidR="000E59AA">
        <w:t>against the personal reasons for breaking it</w:t>
      </w:r>
      <w:r w:rsidR="00462D82">
        <w:t xml:space="preserve"> in both cases. That view</w:t>
      </w:r>
      <w:r w:rsidR="000E59AA">
        <w:t xml:space="preserve"> is unable to explain the difference </w:t>
      </w:r>
      <w:r w:rsidR="00FC2A79">
        <w:t xml:space="preserve">in judgements about what you ought to do. </w:t>
      </w:r>
      <w:r w:rsidR="000E59AA">
        <w:t xml:space="preserve"> </w:t>
      </w:r>
    </w:p>
    <w:p w14:paraId="5E520C49" w14:textId="24730BA3" w:rsidR="00FC2A79" w:rsidRDefault="00FC2A79" w:rsidP="007B440D">
      <w:pPr>
        <w:tabs>
          <w:tab w:val="left" w:pos="284"/>
          <w:tab w:val="left" w:pos="360"/>
        </w:tabs>
      </w:pPr>
      <w:r>
        <w:tab/>
        <w:t>Examples (a) and (b) pertain to fiduciary agency. Similar pairs of examples can be constructed for the other kinds of professional agency, such as the institutional and medical kinds discussed earlier.</w:t>
      </w:r>
      <w:r>
        <w:rPr>
          <w:rStyle w:val="EndnoteReference"/>
        </w:rPr>
        <w:endnoteReference w:id="21"/>
      </w:r>
      <w:r>
        <w:t xml:space="preserve"> The point to extract from them is this. </w:t>
      </w:r>
      <w:r w:rsidR="00B9307A">
        <w:t>T</w:t>
      </w:r>
      <w:r>
        <w:t xml:space="preserve">he relevance of a personal consideration as a reason bearing on what you should do </w:t>
      </w:r>
      <w:r w:rsidR="00B9307A">
        <w:t>can depend</w:t>
      </w:r>
      <w:r>
        <w:t xml:space="preserve"> on whether it falls outside or within the exercise of professional agency.</w:t>
      </w:r>
      <w:r w:rsidR="00044798">
        <w:t xml:space="preserve"> A context-undermining interpretation of the structure of these cases is needed to make sense of this.</w:t>
      </w:r>
    </w:p>
    <w:p w14:paraId="54F031D6" w14:textId="44D0856B" w:rsidR="00F11256" w:rsidRDefault="00F11256" w:rsidP="00D83124">
      <w:pPr>
        <w:tabs>
          <w:tab w:val="left" w:pos="284"/>
          <w:tab w:val="left" w:pos="360"/>
        </w:tabs>
      </w:pPr>
    </w:p>
    <w:p w14:paraId="1DB4BD3B" w14:textId="65451270" w:rsidR="00F47FD8" w:rsidRDefault="00F47FD8" w:rsidP="00D83124">
      <w:pPr>
        <w:tabs>
          <w:tab w:val="left" w:pos="284"/>
          <w:tab w:val="left" w:pos="360"/>
        </w:tabs>
        <w:jc w:val="center"/>
      </w:pPr>
      <w:r>
        <w:rPr>
          <w:b/>
        </w:rPr>
        <w:lastRenderedPageBreak/>
        <w:t>I</w:t>
      </w:r>
      <w:r w:rsidR="00556DD7">
        <w:rPr>
          <w:b/>
        </w:rPr>
        <w:t>V</w:t>
      </w:r>
      <w:r>
        <w:rPr>
          <w:b/>
        </w:rPr>
        <w:t>: Reasons</w:t>
      </w:r>
      <w:r w:rsidR="00327BC7">
        <w:rPr>
          <w:b/>
        </w:rPr>
        <w:t>-Exclusion</w:t>
      </w:r>
    </w:p>
    <w:p w14:paraId="39CC35C9" w14:textId="77777777" w:rsidR="00F47FD8" w:rsidRDefault="00F47FD8" w:rsidP="00D83124">
      <w:pPr>
        <w:tabs>
          <w:tab w:val="left" w:pos="284"/>
          <w:tab w:val="left" w:pos="360"/>
        </w:tabs>
      </w:pPr>
    </w:p>
    <w:p w14:paraId="07C7807D" w14:textId="6200EAC2" w:rsidR="002D4297" w:rsidRDefault="002D4297" w:rsidP="00B9451E">
      <w:pPr>
        <w:tabs>
          <w:tab w:val="left" w:pos="284"/>
          <w:tab w:val="left" w:pos="360"/>
        </w:tabs>
      </w:pPr>
      <w:r>
        <w:t>I</w:t>
      </w:r>
      <w:r w:rsidR="00287A08">
        <w:t xml:space="preserve"> started by distinguishing three kinds of deliberative restriction: those </w:t>
      </w:r>
      <w:r w:rsidR="000A7E2E">
        <w:t>pertaining</w:t>
      </w:r>
      <w:r w:rsidR="00287A08">
        <w:t xml:space="preserve"> to </w:t>
      </w:r>
      <w:proofErr w:type="spellStart"/>
      <w:r w:rsidR="00BD5D41">
        <w:t>disregardable</w:t>
      </w:r>
      <w:proofErr w:type="spellEnd"/>
      <w:r w:rsidR="00287A08">
        <w:t xml:space="preserve"> reasons, context-underminers, and </w:t>
      </w:r>
      <w:r w:rsidR="000A7E2E">
        <w:t>excluded</w:t>
      </w:r>
      <w:r w:rsidR="00287A08">
        <w:t xml:space="preserve"> reasons. Having examined professional-role applications of the first two, </w:t>
      </w:r>
      <w:r w:rsidR="00B9451E">
        <w:t>we can</w:t>
      </w:r>
      <w:r w:rsidR="00287A08">
        <w:t xml:space="preserve"> now turn to the third. </w:t>
      </w:r>
    </w:p>
    <w:p w14:paraId="6FD484F6" w14:textId="53FCFD05" w:rsidR="00A760FA" w:rsidRDefault="002D4297" w:rsidP="00B9451E">
      <w:pPr>
        <w:tabs>
          <w:tab w:val="left" w:pos="284"/>
          <w:tab w:val="left" w:pos="360"/>
        </w:tabs>
      </w:pPr>
      <w:r>
        <w:tab/>
      </w:r>
      <w:r w:rsidR="00F14686">
        <w:t>When Raz draws our attention to the phenomenon of reasons-exclusion, his fundamental point is simple</w:t>
      </w:r>
      <w:r w:rsidR="00DC2FE3">
        <w:t xml:space="preserve">. Among the many things for which you can have a reason, </w:t>
      </w:r>
      <w:r w:rsidR="00DC2FE3" w:rsidRPr="00DC2FE3">
        <w:rPr>
          <w:i/>
        </w:rPr>
        <w:t xml:space="preserve">not being guided by </w:t>
      </w:r>
      <w:r w:rsidR="00F14686">
        <w:rPr>
          <w:i/>
        </w:rPr>
        <w:t>some other reason</w:t>
      </w:r>
      <w:r w:rsidR="00DC2FE3">
        <w:t xml:space="preserve"> is one. </w:t>
      </w:r>
      <w:r w:rsidR="00F14686">
        <w:t xml:space="preserve">When fact </w:t>
      </w:r>
      <w:r w:rsidR="00F14686">
        <w:rPr>
          <w:i/>
        </w:rPr>
        <w:t xml:space="preserve">F </w:t>
      </w:r>
      <w:r w:rsidR="00F14686">
        <w:t xml:space="preserve">is a first-order reason for action </w:t>
      </w:r>
      <w:r w:rsidR="00F14686">
        <w:rPr>
          <w:i/>
        </w:rPr>
        <w:t>A</w:t>
      </w:r>
      <w:r w:rsidR="00F14686">
        <w:t>,</w:t>
      </w:r>
      <w:r w:rsidR="00F14686">
        <w:rPr>
          <w:i/>
        </w:rPr>
        <w:t xml:space="preserve"> </w:t>
      </w:r>
      <w:r w:rsidR="00F14686">
        <w:t xml:space="preserve">fact </w:t>
      </w:r>
      <w:r w:rsidR="00F14686">
        <w:rPr>
          <w:i/>
        </w:rPr>
        <w:t xml:space="preserve">E </w:t>
      </w:r>
      <w:r w:rsidR="00F14686">
        <w:t xml:space="preserve">can be a higher-order, exclusionary reason not to act </w:t>
      </w:r>
      <w:r w:rsidR="00F14686">
        <w:rPr>
          <w:i/>
        </w:rPr>
        <w:t xml:space="preserve">for </w:t>
      </w:r>
      <w:r w:rsidR="00F14686">
        <w:t xml:space="preserve">reason </w:t>
      </w:r>
      <w:r w:rsidR="00F14686">
        <w:rPr>
          <w:i/>
        </w:rPr>
        <w:t xml:space="preserve">F </w:t>
      </w:r>
      <w:r w:rsidR="00F14686" w:rsidRPr="00F14686">
        <w:softHyphen/>
      </w:r>
      <w:r w:rsidR="00F14686">
        <w:t xml:space="preserve">– even though </w:t>
      </w:r>
      <w:r w:rsidR="00F14686">
        <w:rPr>
          <w:i/>
        </w:rPr>
        <w:t xml:space="preserve">F is </w:t>
      </w:r>
      <w:r w:rsidR="00F14686">
        <w:t xml:space="preserve">still a reason for </w:t>
      </w:r>
      <w:r w:rsidR="00F14686">
        <w:rPr>
          <w:i/>
        </w:rPr>
        <w:t>A</w:t>
      </w:r>
      <w:r w:rsidR="00F14686">
        <w:t>. When the exclusionary reason is decisive, you ought not to act on the first-order reason: it is excluded.</w:t>
      </w:r>
      <w:r w:rsidR="00035E44">
        <w:t xml:space="preserve"> I think Raz’s three examples are successful </w:t>
      </w:r>
      <w:r w:rsidR="00B9451E">
        <w:t>illustrat</w:t>
      </w:r>
      <w:r w:rsidR="00035E44">
        <w:t xml:space="preserve">ions of this structure: the authority-example, where </w:t>
      </w:r>
      <w:r w:rsidR="00035E44">
        <w:rPr>
          <w:i/>
        </w:rPr>
        <w:t xml:space="preserve">E </w:t>
      </w:r>
      <w:r w:rsidR="00035E44">
        <w:t xml:space="preserve">is the order Jeremy has received to appropriate the van and </w:t>
      </w:r>
      <w:r w:rsidR="00035E44">
        <w:rPr>
          <w:i/>
        </w:rPr>
        <w:t xml:space="preserve">F </w:t>
      </w:r>
      <w:r w:rsidR="00035E44">
        <w:t>is the inconvenienc</w:t>
      </w:r>
      <w:r w:rsidR="00B9451E">
        <w:t xml:space="preserve">e </w:t>
      </w:r>
      <w:r w:rsidR="00035E44">
        <w:t>to the tradesman;</w:t>
      </w:r>
      <w:r w:rsidR="00C83C65">
        <w:rPr>
          <w:rStyle w:val="EndnoteReference"/>
        </w:rPr>
        <w:endnoteReference w:id="22"/>
      </w:r>
      <w:r w:rsidR="00035E44">
        <w:t xml:space="preserve"> the task-based commitment, where </w:t>
      </w:r>
      <w:r w:rsidR="00035E44">
        <w:rPr>
          <w:i/>
        </w:rPr>
        <w:t xml:space="preserve">E </w:t>
      </w:r>
      <w:r w:rsidR="00035E44">
        <w:t xml:space="preserve">is the promise Colin has made and </w:t>
      </w:r>
      <w:r w:rsidR="00035E44">
        <w:rPr>
          <w:i/>
        </w:rPr>
        <w:t xml:space="preserve">F </w:t>
      </w:r>
      <w:r w:rsidR="00035E44">
        <w:t xml:space="preserve">is </w:t>
      </w:r>
      <w:r w:rsidR="00C83C65">
        <w:t xml:space="preserve">the </w:t>
      </w:r>
      <w:proofErr w:type="gramStart"/>
      <w:r w:rsidR="00C83C65">
        <w:t>example</w:t>
      </w:r>
      <w:proofErr w:type="gramEnd"/>
      <w:r w:rsidR="00C83C65">
        <w:t xml:space="preserve"> he will set by sending his son to a less expensive</w:t>
      </w:r>
      <w:r w:rsidR="00035E44">
        <w:t xml:space="preserve"> school; and </w:t>
      </w:r>
      <w:r w:rsidR="00C83C65">
        <w:t xml:space="preserve">the example of self-mistrust, where </w:t>
      </w:r>
      <w:r w:rsidR="00C83C65">
        <w:rPr>
          <w:i/>
        </w:rPr>
        <w:t xml:space="preserve">E </w:t>
      </w:r>
      <w:r w:rsidR="00C83C65">
        <w:t>is A</w:t>
      </w:r>
      <w:r w:rsidR="00B9451E">
        <w:t xml:space="preserve">nn’s </w:t>
      </w:r>
      <w:r w:rsidR="00C83C65">
        <w:t xml:space="preserve">exhausted state and </w:t>
      </w:r>
      <w:r w:rsidR="00C83C65">
        <w:rPr>
          <w:i/>
        </w:rPr>
        <w:t xml:space="preserve">F </w:t>
      </w:r>
      <w:r w:rsidR="00C83C65">
        <w:t>is the financial benefit that the investment will produce</w:t>
      </w:r>
      <w:r w:rsidR="00A760FA">
        <w:t>.</w:t>
      </w:r>
    </w:p>
    <w:p w14:paraId="0B4ECD1F" w14:textId="1115A212" w:rsidR="00B9451E" w:rsidRDefault="00A760FA" w:rsidP="00D83124">
      <w:pPr>
        <w:tabs>
          <w:tab w:val="left" w:pos="284"/>
          <w:tab w:val="left" w:pos="360"/>
        </w:tabs>
      </w:pPr>
      <w:r>
        <w:tab/>
      </w:r>
      <w:r w:rsidR="0088400B">
        <w:t>T</w:t>
      </w:r>
      <w:r>
        <w:t>he next three sections</w:t>
      </w:r>
      <w:r w:rsidR="0088400B">
        <w:t xml:space="preserve"> will examine</w:t>
      </w:r>
      <w:r>
        <w:t xml:space="preserve"> these three sources of exclusionary reasons</w:t>
      </w:r>
      <w:r w:rsidR="0088400B">
        <w:t xml:space="preserve">, giving professional applications </w:t>
      </w:r>
      <w:r w:rsidR="007C4354">
        <w:t>of</w:t>
      </w:r>
      <w:r w:rsidR="0088400B">
        <w:t xml:space="preserve"> each</w:t>
      </w:r>
      <w:r>
        <w:t xml:space="preserve">. But first, we should examine Raz’s treatment of </w:t>
      </w:r>
      <w:r w:rsidR="002D4297">
        <w:t>them</w:t>
      </w:r>
      <w:r>
        <w:t xml:space="preserve"> in a more critical vein. </w:t>
      </w:r>
      <w:r w:rsidR="0088400B">
        <w:t>We can agree with Raz that these are cases of reasons-exclusion,</w:t>
      </w:r>
      <w:r>
        <w:t xml:space="preserve"> </w:t>
      </w:r>
      <w:r w:rsidR="0088400B">
        <w:t>without accepting</w:t>
      </w:r>
      <w:r w:rsidR="002D4297">
        <w:t xml:space="preserve"> all of the claims he makes about them</w:t>
      </w:r>
      <w:r>
        <w:t>.</w:t>
      </w:r>
      <w:r w:rsidR="007F3D5E">
        <w:rPr>
          <w:rStyle w:val="EndnoteReference"/>
        </w:rPr>
        <w:endnoteReference w:id="23"/>
      </w:r>
    </w:p>
    <w:p w14:paraId="36F2904C" w14:textId="61631982" w:rsidR="00C53C05" w:rsidRDefault="007F3D5E" w:rsidP="00C53C05">
      <w:pPr>
        <w:tabs>
          <w:tab w:val="left" w:pos="284"/>
          <w:tab w:val="left" w:pos="360"/>
        </w:tabs>
      </w:pPr>
      <w:r>
        <w:tab/>
        <w:t xml:space="preserve">In particular, in </w:t>
      </w:r>
      <w:r w:rsidR="0088400B">
        <w:t>a case</w:t>
      </w:r>
      <w:r>
        <w:t xml:space="preserve"> like Jeremy’s, Raz wants to detach judgements about what Jeremy ought to do from judgements about the balance of reasons for and against his action. </w:t>
      </w:r>
      <w:r w:rsidR="00B02C1B">
        <w:t>In</w:t>
      </w:r>
      <w:r w:rsidR="002D4297">
        <w:t xml:space="preserve"> the example</w:t>
      </w:r>
      <w:r w:rsidR="00B02C1B">
        <w:t xml:space="preserve"> he gives</w:t>
      </w:r>
      <w:r w:rsidR="002D4297">
        <w:t>, the</w:t>
      </w:r>
      <w:r w:rsidR="00C53C05">
        <w:t xml:space="preserve"> inconvenience to the tradesman is a strong reason against taking </w:t>
      </w:r>
      <w:r w:rsidR="00B02C1B">
        <w:t>the</w:t>
      </w:r>
      <w:r w:rsidR="00C53C05">
        <w:t xml:space="preserve"> van; the </w:t>
      </w:r>
      <w:r w:rsidR="002D4297">
        <w:t>benefit the army will derive</w:t>
      </w:r>
      <w:r w:rsidR="00C53C05">
        <w:t xml:space="preserve"> from taking it is relatively weak. </w:t>
      </w:r>
      <w:proofErr w:type="gramStart"/>
      <w:r w:rsidR="00C53C05">
        <w:t>So</w:t>
      </w:r>
      <w:proofErr w:type="gramEnd"/>
      <w:r w:rsidR="00C53C05">
        <w:t xml:space="preserve"> the balance of reasons is </w:t>
      </w:r>
      <w:r w:rsidR="00C53C05">
        <w:lastRenderedPageBreak/>
        <w:t>against taking the van</w:t>
      </w:r>
      <w:r w:rsidR="002D4297">
        <w:t>, and the commander should not order Jeremy to take it</w:t>
      </w:r>
      <w:r w:rsidR="00C53C05">
        <w:t xml:space="preserve">. Nonetheless, </w:t>
      </w:r>
      <w:r w:rsidR="002D4297">
        <w:t xml:space="preserve">once the order is given, </w:t>
      </w:r>
      <w:r w:rsidR="00C53C05">
        <w:t xml:space="preserve">Jeremy ought to obey it. </w:t>
      </w:r>
      <w:r w:rsidR="002D4297">
        <w:t>As Raz sees it, t</w:t>
      </w:r>
      <w:r w:rsidR="00C53C05">
        <w:t xml:space="preserve">he order does not change the </w:t>
      </w:r>
      <w:r w:rsidR="007C4354">
        <w:t xml:space="preserve">overall </w:t>
      </w:r>
      <w:r w:rsidR="00C53C05">
        <w:t xml:space="preserve">balance of reasons bearing on his action, but it changes what he ought to do. Thus, Raz </w:t>
      </w:r>
      <w:r w:rsidR="002D4297">
        <w:t>urges us</w:t>
      </w:r>
      <w:r w:rsidR="00C53C05">
        <w:t xml:space="preserve"> to reject the principle that </w:t>
      </w:r>
      <w:r w:rsidR="00C53C05" w:rsidRPr="005913A4">
        <w:t>“</w:t>
      </w:r>
      <w:r w:rsidR="00C53C05">
        <w:t>[</w:t>
      </w:r>
      <w:proofErr w:type="spellStart"/>
      <w:r w:rsidR="00C53C05">
        <w:t>i</w:t>
      </w:r>
      <w:proofErr w:type="spellEnd"/>
      <w:r w:rsidR="00C53C05">
        <w:t>]</w:t>
      </w:r>
      <w:r w:rsidR="00C53C05" w:rsidRPr="005913A4">
        <w:t>t is always the case that one ought, all things considered, to do whatever one ought to do on the balance of reasons.”</w:t>
      </w:r>
      <w:r w:rsidR="00C53C05">
        <w:rPr>
          <w:rStyle w:val="EndnoteReference"/>
        </w:rPr>
        <w:endnoteReference w:id="24"/>
      </w:r>
      <w:r w:rsidR="00C53C05">
        <w:t xml:space="preserve"> (</w:t>
      </w:r>
      <w:r w:rsidR="002D4297">
        <w:t>We can</w:t>
      </w:r>
      <w:r w:rsidR="00C53C05">
        <w:t xml:space="preserve"> call that the Reasons-Ought Principle.) Instead, he maintains that </w:t>
      </w:r>
      <w:r w:rsidR="00F26316">
        <w:t>“[</w:t>
      </w:r>
      <w:proofErr w:type="spellStart"/>
      <w:r w:rsidR="00F26316">
        <w:t>i</w:t>
      </w:r>
      <w:proofErr w:type="spellEnd"/>
      <w:r w:rsidR="00F26316">
        <w:t>]</w:t>
      </w:r>
      <w:r w:rsidR="00F26316" w:rsidRPr="005913A4">
        <w:t>t is always the case that one ought, all things considered, to act for an undefeated reason</w:t>
      </w:r>
      <w:r w:rsidR="00F26316">
        <w:t>”</w:t>
      </w:r>
      <w:r w:rsidR="00F26316">
        <w:rPr>
          <w:rStyle w:val="EndnoteReference"/>
        </w:rPr>
        <w:endnoteReference w:id="25"/>
      </w:r>
      <w:r w:rsidR="00F26316">
        <w:t xml:space="preserve"> </w:t>
      </w:r>
      <w:r w:rsidR="00C53C05">
        <w:t xml:space="preserve"> </w:t>
      </w:r>
      <w:r w:rsidR="002D4297">
        <w:t>–</w:t>
      </w:r>
      <w:r w:rsidR="00F26316">
        <w:t xml:space="preserve"> where a reason can be defeated in two ways:</w:t>
      </w:r>
      <w:r w:rsidR="00C53C05">
        <w:t xml:space="preserve"> by being outweighed, or by being excluded. </w:t>
      </w:r>
      <w:r w:rsidR="00F26316">
        <w:t xml:space="preserve">In this way, </w:t>
      </w:r>
      <w:r w:rsidR="002D4297">
        <w:t xml:space="preserve">Raz maintains, </w:t>
      </w:r>
      <w:r w:rsidR="00F26316">
        <w:t xml:space="preserve">we can reconcile the judgements that the order is bad (because the balance of reasons counts against </w:t>
      </w:r>
      <w:r w:rsidR="002D4297">
        <w:t>the action it commands</w:t>
      </w:r>
      <w:r w:rsidR="00F26316">
        <w:t xml:space="preserve">), and that </w:t>
      </w:r>
      <w:r w:rsidR="002D4297">
        <w:t>Jeremy</w:t>
      </w:r>
      <w:r w:rsidR="00F26316">
        <w:t xml:space="preserve"> ought to obey it (because the reasons against are excluded, and thereby defeated). </w:t>
      </w:r>
      <w:r w:rsidR="005F7802">
        <w:t>And we can explain why it makes sense for Jeremy to have mixed feelings about obeying this order: there is a sense in which he is doing the right thing, but also a sense in which he is doing the wrong thing, in doing what there are stronger reasons against.</w:t>
      </w:r>
      <w:r w:rsidR="005F7802">
        <w:rPr>
          <w:rStyle w:val="EndnoteReference"/>
        </w:rPr>
        <w:endnoteReference w:id="26"/>
      </w:r>
      <w:r w:rsidR="005F7802">
        <w:t xml:space="preserve"> </w:t>
      </w:r>
    </w:p>
    <w:p w14:paraId="101A670F" w14:textId="39EEF649" w:rsidR="0011473C" w:rsidRDefault="00F26316" w:rsidP="0011473C">
      <w:pPr>
        <w:tabs>
          <w:tab w:val="left" w:pos="284"/>
          <w:tab w:val="left" w:pos="360"/>
        </w:tabs>
      </w:pPr>
      <w:r>
        <w:tab/>
        <w:t xml:space="preserve">But this seems both confusing, and unnecessary. It is confusing, because </w:t>
      </w:r>
      <w:r w:rsidR="00792BC0">
        <w:t xml:space="preserve">it </w:t>
      </w:r>
      <w:r w:rsidR="00C56852">
        <w:t xml:space="preserve">is hard to see what </w:t>
      </w:r>
      <w:proofErr w:type="gramStart"/>
      <w:r w:rsidR="00C56852">
        <w:t>is the force</w:t>
      </w:r>
      <w:proofErr w:type="gramEnd"/>
      <w:r w:rsidR="00C56852">
        <w:t xml:space="preserve"> of saying that the reasons against taking the van are </w:t>
      </w:r>
      <w:r w:rsidR="00C56852" w:rsidRPr="00462D82">
        <w:rPr>
          <w:i/>
        </w:rPr>
        <w:t>stronger</w:t>
      </w:r>
      <w:r w:rsidR="00C56852">
        <w:t xml:space="preserve"> than the reasons in favour, if Jeremy ought</w:t>
      </w:r>
      <w:r w:rsidR="00462D82">
        <w:t>, all things considered,</w:t>
      </w:r>
      <w:r w:rsidR="00C56852">
        <w:t xml:space="preserve"> to take it.</w:t>
      </w:r>
      <w:r w:rsidR="002D4297">
        <w:rPr>
          <w:rStyle w:val="EndnoteReference"/>
        </w:rPr>
        <w:endnoteReference w:id="27"/>
      </w:r>
      <w:r w:rsidR="00C56852">
        <w:t xml:space="preserve"> </w:t>
      </w:r>
      <w:r w:rsidR="005F7802">
        <w:t xml:space="preserve">But it is also unnecessary, because we can explain </w:t>
      </w:r>
      <w:r w:rsidR="005618D0">
        <w:t xml:space="preserve">both </w:t>
      </w:r>
      <w:r w:rsidR="005F7802">
        <w:t xml:space="preserve">the badness of the order and the appropriateness of mixed feelings about obeying it, without having to reject the Reasons-Ought Principle. </w:t>
      </w:r>
      <w:r w:rsidR="0088400B">
        <w:t xml:space="preserve">As Raz himself points out, a single fact </w:t>
      </w:r>
      <w:proofErr w:type="spellStart"/>
      <w:r w:rsidR="0088400B">
        <w:rPr>
          <w:i/>
        </w:rPr>
        <w:t>E</w:t>
      </w:r>
      <w:proofErr w:type="spellEnd"/>
      <w:r w:rsidR="0088400B">
        <w:t xml:space="preserve"> can function</w:t>
      </w:r>
      <w:r w:rsidR="00F97E46">
        <w:t xml:space="preserve"> as</w:t>
      </w:r>
      <w:r w:rsidR="0088400B">
        <w:t xml:space="preserve"> both </w:t>
      </w:r>
      <w:r w:rsidR="00F97E46">
        <w:t>a first-order reason for action and an exclusionary reason not to be guided by other first-order reasons. Indeed, he allows that this is true in Jeremy’s case. T</w:t>
      </w:r>
      <w:r w:rsidR="005F7802">
        <w:t xml:space="preserve">he commander’s order gives Jeremy both an exclusionary reason </w:t>
      </w:r>
      <w:r w:rsidR="0011473C">
        <w:t>(not to act on his own assessment of the reasons) and a first-order reason</w:t>
      </w:r>
      <w:r w:rsidR="00F97E46">
        <w:t xml:space="preserve"> for doing as he is ordered.</w:t>
      </w:r>
      <w:r w:rsidR="00B91866">
        <w:rPr>
          <w:rStyle w:val="EndnoteReference"/>
        </w:rPr>
        <w:endnoteReference w:id="28"/>
      </w:r>
      <w:r w:rsidR="00F97E46">
        <w:t xml:space="preserve"> However, once we say this, a more straightforward treatment of the example becomes available.</w:t>
      </w:r>
      <w:r w:rsidR="00F97E46" w:rsidRPr="00F97E46">
        <w:t xml:space="preserve"> </w:t>
      </w:r>
      <w:r w:rsidR="00F97E46">
        <w:t>As long as the first-order reason of obedience is strong enough to be decisive, then</w:t>
      </w:r>
      <w:r w:rsidR="005F7802">
        <w:t xml:space="preserve"> Jeremy ought to obey the order and take the van. </w:t>
      </w:r>
      <w:r w:rsidR="0011473C">
        <w:t xml:space="preserve">But the order is still bad, as is the inconvenience to the tradesman. </w:t>
      </w:r>
      <w:r w:rsidR="005618D0">
        <w:lastRenderedPageBreak/>
        <w:t>Jeremy</w:t>
      </w:r>
      <w:r w:rsidR="0011473C">
        <w:t xml:space="preserve"> should prefer not to have been given the order, and </w:t>
      </w:r>
      <w:r w:rsidR="005618D0">
        <w:t xml:space="preserve">should also </w:t>
      </w:r>
      <w:r w:rsidR="0011473C">
        <w:t xml:space="preserve">dislike its impact on the tradesman, while thinking that he has most reason to do as he is ordered, and that if the reasons against obeying the order were </w:t>
      </w:r>
      <w:r w:rsidR="005618D0">
        <w:t>strong enough</w:t>
      </w:r>
      <w:r w:rsidR="0011473C">
        <w:t>, he should disobey</w:t>
      </w:r>
      <w:r w:rsidR="005618D0">
        <w:t xml:space="preserve"> it</w:t>
      </w:r>
      <w:r w:rsidR="0011473C">
        <w:t>.</w:t>
      </w:r>
    </w:p>
    <w:p w14:paraId="7DAE7706" w14:textId="282DFD16" w:rsidR="005F7802" w:rsidRDefault="00F97E46" w:rsidP="00C53C05">
      <w:pPr>
        <w:tabs>
          <w:tab w:val="left" w:pos="284"/>
          <w:tab w:val="left" w:pos="360"/>
        </w:tabs>
      </w:pPr>
      <w:r>
        <w:tab/>
      </w:r>
      <w:r w:rsidR="006B1CE3">
        <w:t>Thus, accepting</w:t>
      </w:r>
      <w:r w:rsidR="00462D82">
        <w:t xml:space="preserve"> that there are excluded reasons </w:t>
      </w:r>
      <w:r w:rsidR="006B1CE3">
        <w:t>does not require us</w:t>
      </w:r>
      <w:r w:rsidR="00462D82">
        <w:t xml:space="preserve"> to follow Raz in rejecting</w:t>
      </w:r>
      <w:r>
        <w:t xml:space="preserve"> the Reasons-Ought Principle. </w:t>
      </w:r>
      <w:r w:rsidR="00B97CEB">
        <w:t>With this in mind, we can now t</w:t>
      </w:r>
      <w:r>
        <w:t>urn to the professional applications</w:t>
      </w:r>
      <w:r w:rsidR="00462D82">
        <w:t xml:space="preserve"> of reasons-exclusion, considering first those with their source in relationships of authority, then task-based commitments, and finally self-mistrust</w:t>
      </w:r>
      <w:r>
        <w:t>.</w:t>
      </w:r>
    </w:p>
    <w:p w14:paraId="251599D3" w14:textId="77777777" w:rsidR="004B6762" w:rsidRDefault="004B6762" w:rsidP="00D83124">
      <w:pPr>
        <w:tabs>
          <w:tab w:val="left" w:pos="284"/>
        </w:tabs>
        <w:jc w:val="center"/>
        <w:rPr>
          <w:b/>
        </w:rPr>
      </w:pPr>
    </w:p>
    <w:p w14:paraId="375772E8" w14:textId="4076B549" w:rsidR="0062349C" w:rsidRPr="0062349C" w:rsidRDefault="0062349C" w:rsidP="00D83124">
      <w:pPr>
        <w:tabs>
          <w:tab w:val="left" w:pos="284"/>
        </w:tabs>
        <w:jc w:val="center"/>
        <w:rPr>
          <w:b/>
        </w:rPr>
      </w:pPr>
      <w:r>
        <w:rPr>
          <w:b/>
        </w:rPr>
        <w:t xml:space="preserve">V: </w:t>
      </w:r>
      <w:r w:rsidR="005618D0">
        <w:rPr>
          <w:b/>
        </w:rPr>
        <w:t>Exclusion</w:t>
      </w:r>
      <w:r w:rsidR="00327BC7">
        <w:rPr>
          <w:b/>
        </w:rPr>
        <w:t xml:space="preserve"> through </w:t>
      </w:r>
      <w:r w:rsidR="005618D0">
        <w:rPr>
          <w:b/>
        </w:rPr>
        <w:t>Authority</w:t>
      </w:r>
    </w:p>
    <w:p w14:paraId="057D149D" w14:textId="46029728" w:rsidR="0011473C" w:rsidRDefault="0011473C" w:rsidP="00D83124">
      <w:pPr>
        <w:tabs>
          <w:tab w:val="left" w:pos="284"/>
        </w:tabs>
      </w:pPr>
    </w:p>
    <w:p w14:paraId="755C1037" w14:textId="41C6C5CC" w:rsidR="005438F4" w:rsidRDefault="00B97CEB" w:rsidP="005438F4">
      <w:pPr>
        <w:tabs>
          <w:tab w:val="left" w:pos="284"/>
        </w:tabs>
      </w:pPr>
      <w:r>
        <w:t>Reasons-exclusion through authority has applications</w:t>
      </w:r>
      <w:r w:rsidR="006B1CE3">
        <w:t xml:space="preserve"> of two different kinds</w:t>
      </w:r>
      <w:r>
        <w:t xml:space="preserve"> to professional life. The first, </w:t>
      </w:r>
      <w:r w:rsidR="00567989">
        <w:t>illustrated by Jeremy</w:t>
      </w:r>
      <w:r>
        <w:t>, is found</w:t>
      </w:r>
      <w:r w:rsidR="00567989">
        <w:t xml:space="preserve"> wherever there is a decisional division of labour within a hierarchical organizational structure. The military case is an especially pronounced example of this; but </w:t>
      </w:r>
      <w:r w:rsidR="005438F4">
        <w:t xml:space="preserve">allocations of decision-making authority that create </w:t>
      </w:r>
      <w:r w:rsidR="003C702E">
        <w:t>reasons-exclusion</w:t>
      </w:r>
      <w:r w:rsidR="005438F4">
        <w:t xml:space="preserve"> are present to some degree in all large organizations. </w:t>
      </w:r>
      <w:r w:rsidR="003336F8">
        <w:t xml:space="preserve">To function effectively, a large organization needs </w:t>
      </w:r>
      <w:r w:rsidR="00067614">
        <w:t>the actions of its</w:t>
      </w:r>
      <w:r w:rsidR="003336F8">
        <w:t xml:space="preserve"> </w:t>
      </w:r>
      <w:r w:rsidR="00067614">
        <w:t>l</w:t>
      </w:r>
      <w:r w:rsidR="003336F8">
        <w:t>ower-level agents</w:t>
      </w:r>
      <w:r w:rsidR="00067614">
        <w:t xml:space="preserve"> to be guided by decisions made at higher levels</w:t>
      </w:r>
      <w:r w:rsidR="008333FB">
        <w:t xml:space="preserve">. The application of this point varies in scope. The actions a theatre nurse is instructed to perform by a surgeon during an operation are tightly circumscribed; </w:t>
      </w:r>
      <w:r w:rsidR="00067614">
        <w:t xml:space="preserve">the university administration’s direction of </w:t>
      </w:r>
      <w:r w:rsidR="008333FB">
        <w:t>my actions a</w:t>
      </w:r>
      <w:r w:rsidR="005438F4">
        <w:t>s a teacher</w:t>
      </w:r>
      <w:r w:rsidR="008333FB">
        <w:t xml:space="preserve"> </w:t>
      </w:r>
      <w:r w:rsidR="00067614">
        <w:t>is much less specific</w:t>
      </w:r>
      <w:r w:rsidR="008333FB">
        <w:t xml:space="preserve">. However, </w:t>
      </w:r>
      <w:r w:rsidR="00067614">
        <w:t>this is a difference of degree rather than kind. W</w:t>
      </w:r>
      <w:r w:rsidR="008333FB">
        <w:t>hile</w:t>
      </w:r>
      <w:r w:rsidR="005438F4">
        <w:t xml:space="preserve"> I am not subject to others’ authority over how to teach my courses</w:t>
      </w:r>
      <w:r w:rsidR="008333FB">
        <w:t>,</w:t>
      </w:r>
      <w:r w:rsidR="005438F4">
        <w:t xml:space="preserve"> it is</w:t>
      </w:r>
      <w:r w:rsidR="005438F4" w:rsidRPr="005438F4">
        <w:t xml:space="preserve"> not up to me whether I teach the Philosophy curriculum or something else. </w:t>
      </w:r>
      <w:r w:rsidR="005438F4">
        <w:t>Perhaps</w:t>
      </w:r>
      <w:r w:rsidR="005438F4" w:rsidRPr="005438F4">
        <w:t xml:space="preserve"> my students would be far more enlightened by my compendious knowledge of Chinese history</w:t>
      </w:r>
      <w:r w:rsidR="005438F4">
        <w:t xml:space="preserve"> than my </w:t>
      </w:r>
      <w:proofErr w:type="spellStart"/>
      <w:r w:rsidR="005438F4">
        <w:t>fumblings</w:t>
      </w:r>
      <w:proofErr w:type="spellEnd"/>
      <w:r w:rsidR="005438F4">
        <w:t xml:space="preserve"> with Philosophy</w:t>
      </w:r>
      <w:r w:rsidR="005438F4" w:rsidRPr="005438F4">
        <w:t xml:space="preserve">, but </w:t>
      </w:r>
      <w:r w:rsidR="005438F4">
        <w:t xml:space="preserve">that </w:t>
      </w:r>
      <w:r w:rsidR="00067614">
        <w:t>decision is not</w:t>
      </w:r>
      <w:r w:rsidR="005438F4">
        <w:t xml:space="preserve"> available to me. </w:t>
      </w:r>
      <w:r w:rsidR="00067614">
        <w:t>In my case, the actio</w:t>
      </w:r>
      <w:r w:rsidR="008333FB">
        <w:t>n over which higher-level decisional authority is exercised by others</w:t>
      </w:r>
      <w:r w:rsidR="00067614">
        <w:t xml:space="preserve"> is broadly specified</w:t>
      </w:r>
      <w:r w:rsidR="008333FB">
        <w:t xml:space="preserve">; </w:t>
      </w:r>
      <w:r w:rsidR="008333FB">
        <w:lastRenderedPageBreak/>
        <w:t xml:space="preserve">but the actions </w:t>
      </w:r>
      <w:r w:rsidR="00067614">
        <w:t>I perform are legitimately determined, at this broad level of specification,</w:t>
      </w:r>
      <w:r w:rsidR="008333FB">
        <w:t xml:space="preserve"> by that authority.</w:t>
      </w:r>
    </w:p>
    <w:p w14:paraId="67F44B6C" w14:textId="3CB502A7" w:rsidR="008C7AD4" w:rsidRDefault="002C7FB4" w:rsidP="005438F4">
      <w:pPr>
        <w:tabs>
          <w:tab w:val="left" w:pos="284"/>
        </w:tabs>
      </w:pPr>
      <w:r>
        <w:tab/>
      </w:r>
      <w:r w:rsidR="008333FB">
        <w:t xml:space="preserve">This gives us a first set of applications of </w:t>
      </w:r>
      <w:r w:rsidR="003C702E">
        <w:t>reasons-exclusion through</w:t>
      </w:r>
      <w:r w:rsidR="008333FB">
        <w:t xml:space="preserve"> authority.</w:t>
      </w:r>
      <w:r>
        <w:t xml:space="preserve"> </w:t>
      </w:r>
      <w:r w:rsidR="008C7AD4">
        <w:t xml:space="preserve">When </w:t>
      </w:r>
      <w:r>
        <w:t>I</w:t>
      </w:r>
      <w:r w:rsidR="008C7AD4">
        <w:t xml:space="preserve"> accept a role that falls under others’ managerial authority, </w:t>
      </w:r>
      <w:r>
        <w:t>I am</w:t>
      </w:r>
      <w:r w:rsidR="008C7AD4">
        <w:t xml:space="preserve"> agreeing to implement the legitimate decisions made by those with </w:t>
      </w:r>
      <w:r>
        <w:t>the relevant</w:t>
      </w:r>
      <w:r w:rsidR="008C7AD4">
        <w:t xml:space="preserve"> authority. This gives me both reasons to do as I am told – first-order reasons of obedience to the instructions I am given – and reasons to guide my actions </w:t>
      </w:r>
      <w:r>
        <w:t>in accordance with</w:t>
      </w:r>
      <w:r w:rsidR="008C7AD4">
        <w:t xml:space="preserve"> others’ assessment of the </w:t>
      </w:r>
      <w:r>
        <w:t xml:space="preserve">reasons rather than my own. This is not a justification for obedience that is mute or unquestioning: I </w:t>
      </w:r>
      <w:r w:rsidR="00067614">
        <w:t>retain</w:t>
      </w:r>
      <w:r>
        <w:t xml:space="preserve"> reasons to challenge instructions that seem wrong.</w:t>
      </w:r>
      <w:r w:rsidR="00067614">
        <w:rPr>
          <w:rStyle w:val="EndnoteReference"/>
        </w:rPr>
        <w:endnoteReference w:id="29"/>
      </w:r>
      <w:r>
        <w:t xml:space="preserve"> But there is an important difference between questioning a decision and treating it as one that is mine to make – between asking the surgeon whether she really does need a lancet and just passing her a scalpel instead.</w:t>
      </w:r>
    </w:p>
    <w:p w14:paraId="6DF8D24D" w14:textId="5C0320F3" w:rsidR="00180639" w:rsidRDefault="00180639" w:rsidP="005438F4">
      <w:pPr>
        <w:tabs>
          <w:tab w:val="left" w:pos="284"/>
        </w:tabs>
      </w:pPr>
      <w:r>
        <w:tab/>
        <w:t>The second application is in a way the opposite of the first.</w:t>
      </w:r>
      <w:r w:rsidR="00300B73">
        <w:t xml:space="preserve"> This concerns the situations in which a group of us needs to make a collective decision, and no member has greater authority to determine it than anyone else. </w:t>
      </w:r>
      <w:r w:rsidR="009A2B91">
        <w:t xml:space="preserve">Decision-making within an academic department is a familiar example of this. </w:t>
      </w:r>
      <w:r w:rsidR="00300B73">
        <w:t xml:space="preserve">Usually, the way we should proceed is by adopting a fair and inclusive procedure in which we all have an equal opportunity to express an opinion and our views are given equal weight in determining the outcome. Respecting the fairness of this procedure </w:t>
      </w:r>
      <w:r w:rsidR="009A2B91">
        <w:t xml:space="preserve">then </w:t>
      </w:r>
      <w:r w:rsidR="00300B73">
        <w:t xml:space="preserve">requires me to abide by its rules, and to cooperate in implementing the outcome we have decided. Once a collective decision has been reached, that decision then has authority over what I subsequently do, even when I am convinced that the </w:t>
      </w:r>
      <w:r w:rsidR="000A7E2E">
        <w:t>majority should not have decided as it did.</w:t>
      </w:r>
      <w:r w:rsidR="00300B73">
        <w:t xml:space="preserve"> Here, too, I have strong reasons – reasons of fairness – to recognize the authority of the group to decide how I subsequently act</w:t>
      </w:r>
      <w:r w:rsidR="00D45F18">
        <w:t xml:space="preserve">. Again, these reasons function in two ways. They are reasons to do what the group has decided, and reasons to guide my subsequent actions in accordance with the group’s assessment of the reasons, rather than my own. </w:t>
      </w:r>
      <w:r w:rsidR="00742DE0">
        <w:t>E</w:t>
      </w:r>
      <w:r w:rsidR="00D45F18">
        <w:t xml:space="preserve">ven if I am correct in judging that the group should not have decided as it did, the fact that it has done so provides </w:t>
      </w:r>
      <w:r w:rsidR="00D45F18">
        <w:lastRenderedPageBreak/>
        <w:t>me with a new reason – a reason of fairness – that can be decisive in determining how my action is guided</w:t>
      </w:r>
      <w:r w:rsidR="00067614">
        <w:t xml:space="preserve"> thereafter</w:t>
      </w:r>
      <w:r w:rsidR="00D45F18">
        <w:t>.</w:t>
      </w:r>
    </w:p>
    <w:p w14:paraId="28BBED2F" w14:textId="77777777" w:rsidR="00EE14C1" w:rsidRDefault="00EE14C1" w:rsidP="00D83124">
      <w:pPr>
        <w:tabs>
          <w:tab w:val="left" w:pos="284"/>
        </w:tabs>
      </w:pPr>
    </w:p>
    <w:p w14:paraId="4C86E3C3" w14:textId="780B6159" w:rsidR="00EE14C1" w:rsidRPr="00EE14C1" w:rsidRDefault="00EE14C1" w:rsidP="00EE14C1">
      <w:pPr>
        <w:tabs>
          <w:tab w:val="left" w:pos="284"/>
        </w:tabs>
        <w:jc w:val="center"/>
        <w:rPr>
          <w:b/>
        </w:rPr>
      </w:pPr>
      <w:r>
        <w:rPr>
          <w:b/>
        </w:rPr>
        <w:t>V</w:t>
      </w:r>
      <w:r w:rsidR="00556DD7">
        <w:rPr>
          <w:b/>
        </w:rPr>
        <w:t>I</w:t>
      </w:r>
      <w:r>
        <w:rPr>
          <w:b/>
        </w:rPr>
        <w:t>:  Exclusion</w:t>
      </w:r>
      <w:r w:rsidR="00327BC7">
        <w:rPr>
          <w:b/>
        </w:rPr>
        <w:t xml:space="preserve"> through</w:t>
      </w:r>
      <w:r w:rsidR="00643452">
        <w:rPr>
          <w:b/>
        </w:rPr>
        <w:t xml:space="preserve"> Task-Based Commitment</w:t>
      </w:r>
    </w:p>
    <w:p w14:paraId="6DDC98D0" w14:textId="77777777" w:rsidR="00F47FD8" w:rsidRPr="00F47FD8" w:rsidRDefault="00F47FD8" w:rsidP="00D83124">
      <w:pPr>
        <w:tabs>
          <w:tab w:val="left" w:pos="284"/>
          <w:tab w:val="left" w:pos="360"/>
        </w:tabs>
      </w:pPr>
    </w:p>
    <w:p w14:paraId="101FD547" w14:textId="70F177D4" w:rsidR="001D1A7D" w:rsidRDefault="000E5A60" w:rsidP="00AB3819">
      <w:pPr>
        <w:tabs>
          <w:tab w:val="left" w:pos="284"/>
        </w:tabs>
      </w:pPr>
      <w:r>
        <w:t>We can now turn to a</w:t>
      </w:r>
      <w:r w:rsidR="001A65EE">
        <w:t xml:space="preserve"> second source of reasons-exclusion</w:t>
      </w:r>
      <w:r>
        <w:t xml:space="preserve">: the kind of </w:t>
      </w:r>
      <w:r w:rsidR="00416109">
        <w:t>task-based commitment</w:t>
      </w:r>
      <w:r w:rsidR="001A65EE">
        <w:t xml:space="preserve"> exemplified by</w:t>
      </w:r>
      <w:r w:rsidR="00AB3819">
        <w:t xml:space="preserve"> the </w:t>
      </w:r>
      <w:r w:rsidR="00E67503">
        <w:t xml:space="preserve">conscientious </w:t>
      </w:r>
      <w:r w:rsidR="00AB3819">
        <w:t xml:space="preserve">parent Colin. Colin is concerned that if he sends his son to </w:t>
      </w:r>
      <w:r w:rsidR="001A65EE">
        <w:t>an expensive</w:t>
      </w:r>
      <w:r w:rsidR="00AB3819">
        <w:t xml:space="preserve"> school, others will follow his example, and that this will be bad for them and for the local government school. However, he </w:t>
      </w:r>
      <w:r w:rsidR="00AB3819" w:rsidRPr="00AB3819">
        <w:t xml:space="preserve">has promised his wife </w:t>
      </w:r>
      <w:r w:rsidR="00AB3819">
        <w:t>to</w:t>
      </w:r>
      <w:r w:rsidR="00AB3819" w:rsidRPr="00AB3819">
        <w:t xml:space="preserve"> base </w:t>
      </w:r>
      <w:r w:rsidR="00AB3819">
        <w:t>his</w:t>
      </w:r>
      <w:r w:rsidR="00AB3819" w:rsidRPr="00AB3819">
        <w:t xml:space="preserve"> decision </w:t>
      </w:r>
      <w:r w:rsidR="00AB3819">
        <w:t>solely</w:t>
      </w:r>
      <w:r w:rsidR="00AB3819" w:rsidRPr="00AB3819">
        <w:t xml:space="preserve"> on the</w:t>
      </w:r>
      <w:r w:rsidR="00AB3819">
        <w:t>ir</w:t>
      </w:r>
      <w:r w:rsidR="00AB3819" w:rsidRPr="00AB3819">
        <w:t xml:space="preserve"> son’s interests</w:t>
      </w:r>
      <w:r w:rsidR="00AB3819">
        <w:t>.</w:t>
      </w:r>
      <w:r w:rsidR="007D49F7">
        <w:rPr>
          <w:rStyle w:val="EndnoteReference"/>
        </w:rPr>
        <w:endnoteReference w:id="30"/>
      </w:r>
    </w:p>
    <w:p w14:paraId="778EE821" w14:textId="4523BCBA" w:rsidR="00AB3819" w:rsidRDefault="001D1A7D" w:rsidP="00AB3819">
      <w:pPr>
        <w:tabs>
          <w:tab w:val="left" w:pos="284"/>
        </w:tabs>
      </w:pPr>
      <w:r>
        <w:tab/>
        <w:t>I think we should see Colin’s promise, like the order received by Jeremy, as functioning in</w:t>
      </w:r>
      <w:r w:rsidR="00AB3819">
        <w:t xml:space="preserve"> two ways. First, it is an exclusionary reason – a reason </w:t>
      </w:r>
      <w:r>
        <w:t xml:space="preserve">for his choice of school </w:t>
      </w:r>
      <w:r w:rsidR="00AB3819">
        <w:t xml:space="preserve">not to be guided by reasons other than the son’s interests. But secondly, it is also a reason for actually sending their son to the school </w:t>
      </w:r>
      <w:r w:rsidR="004468EE">
        <w:t>Colin</w:t>
      </w:r>
      <w:r w:rsidR="00AB3819">
        <w:t xml:space="preserve"> believes will be best for him. To see this, suppose that Colin decides to send their son to St </w:t>
      </w:r>
      <w:proofErr w:type="spellStart"/>
      <w:r w:rsidR="00AB3819">
        <w:t>Smug’s</w:t>
      </w:r>
      <w:proofErr w:type="spellEnd"/>
      <w:r w:rsidR="00AB3819">
        <w:t>, but accidentally posts the a</w:t>
      </w:r>
      <w:r w:rsidR="00AB3819" w:rsidRPr="00AB3819">
        <w:t xml:space="preserve">pplication letter </w:t>
      </w:r>
      <w:r w:rsidR="00AB3819">
        <w:t>to the wrong</w:t>
      </w:r>
      <w:r w:rsidR="00AB3819" w:rsidRPr="00AB3819">
        <w:t xml:space="preserve"> address and ends up </w:t>
      </w:r>
      <w:r w:rsidR="00AB3819">
        <w:t>inadvertently</w:t>
      </w:r>
      <w:r w:rsidR="00AB3819" w:rsidRPr="00AB3819">
        <w:t xml:space="preserve"> enrolling their son at </w:t>
      </w:r>
      <w:r w:rsidR="00AB3819">
        <w:t>Local High</w:t>
      </w:r>
      <w:r w:rsidR="00AB3819" w:rsidRPr="00AB3819">
        <w:t>.</w:t>
      </w:r>
      <w:r w:rsidR="00AB3819">
        <w:t xml:space="preserve"> If he then cheerfully tells his wife that he has succeeded both in keeping his promise to her (guiding his action solely by a consideration of their son’s interests) and in doing what he </w:t>
      </w:r>
      <w:r>
        <w:t>had most reason</w:t>
      </w:r>
      <w:r w:rsidR="00AB3819">
        <w:t xml:space="preserve"> to do (sending him to Local High), she </w:t>
      </w:r>
      <w:r w:rsidR="00AB3819" w:rsidRPr="00AB3819">
        <w:t xml:space="preserve">would be entitled to be unimpressed. Surely, Colin </w:t>
      </w:r>
      <w:r w:rsidR="00AB3819" w:rsidRPr="00AB3819">
        <w:rPr>
          <w:i/>
        </w:rPr>
        <w:t>has</w:t>
      </w:r>
      <w:r w:rsidR="00AB3819" w:rsidRPr="00AB3819">
        <w:t xml:space="preserve"> (inadvertently) broken his promise to her.</w:t>
      </w:r>
      <w:r w:rsidR="00AB3819">
        <w:rPr>
          <w:rStyle w:val="EndnoteReference"/>
        </w:rPr>
        <w:endnoteReference w:id="31"/>
      </w:r>
      <w:r w:rsidR="00AB3819" w:rsidRPr="00AB3819">
        <w:t xml:space="preserve"> </w:t>
      </w:r>
      <w:r w:rsidR="00AB3819">
        <w:t>In saying</w:t>
      </w:r>
      <w:r w:rsidR="00AB3819" w:rsidRPr="00AB3819">
        <w:t xml:space="preserve"> that he </w:t>
      </w:r>
      <w:r w:rsidR="00AB3819">
        <w:t>will</w:t>
      </w:r>
      <w:r w:rsidR="00AB3819" w:rsidRPr="00AB3819">
        <w:t xml:space="preserve"> base his decision only on their son’s interests</w:t>
      </w:r>
      <w:r w:rsidR="00AB3819">
        <w:t xml:space="preserve">, what he has </w:t>
      </w:r>
      <w:r w:rsidR="00AB3819" w:rsidRPr="00AB3819">
        <w:t xml:space="preserve">promised includes more than just what he explicitly said. In saying those words, he promises that he will send their son to the school that he believes to be best for him. </w:t>
      </w:r>
    </w:p>
    <w:p w14:paraId="1179A619" w14:textId="282A73AE" w:rsidR="00AB3819" w:rsidRPr="00AB3819" w:rsidRDefault="00AB3819" w:rsidP="00AB3819">
      <w:pPr>
        <w:tabs>
          <w:tab w:val="left" w:pos="284"/>
        </w:tabs>
      </w:pPr>
      <w:r>
        <w:tab/>
      </w:r>
      <w:r w:rsidR="001D1A7D">
        <w:t>To say this is to treat</w:t>
      </w:r>
      <w:r>
        <w:t xml:space="preserve"> Col</w:t>
      </w:r>
      <w:r w:rsidR="001D1A7D">
        <w:t xml:space="preserve">in’s promise as </w:t>
      </w:r>
      <w:r w:rsidR="00F57D0E">
        <w:t>a new reason for action that can</w:t>
      </w:r>
      <w:r w:rsidR="001D1A7D">
        <w:t xml:space="preserve"> </w:t>
      </w:r>
      <w:r w:rsidR="00B9307A">
        <w:t xml:space="preserve">outweigh </w:t>
      </w:r>
      <w:r w:rsidR="001D1A7D">
        <w:t xml:space="preserve">his </w:t>
      </w:r>
      <w:r>
        <w:t xml:space="preserve">reasons </w:t>
      </w:r>
      <w:r w:rsidR="001D1A7D">
        <w:t>for sending</w:t>
      </w:r>
      <w:r>
        <w:t xml:space="preserve"> their son to Local High. But why not go further than this, and treat the </w:t>
      </w:r>
      <w:r>
        <w:lastRenderedPageBreak/>
        <w:t>promise as a context-underminer? Has not Colin promised to occupy a fiduciary role in relation to their son’s education – a role on the exercise of which only a restricted range of reasons bears: reasons relating to the son’s educational interests? If so, what is the difference between this case and the cases of fiduciary contex</w:t>
      </w:r>
      <w:r w:rsidR="001D1A7D">
        <w:t>t-undermining discussed earlier?</w:t>
      </w:r>
    </w:p>
    <w:p w14:paraId="64A660AB" w14:textId="07198072" w:rsidR="00AB3819" w:rsidRDefault="00AB3819" w:rsidP="00AB3819">
      <w:pPr>
        <w:tabs>
          <w:tab w:val="left" w:pos="284"/>
        </w:tabs>
      </w:pPr>
      <w:r>
        <w:tab/>
        <w:t xml:space="preserve">The answer is that an argument of the form I appealed to in making the case for </w:t>
      </w:r>
      <w:r w:rsidR="001D1A7D">
        <w:t xml:space="preserve">a </w:t>
      </w:r>
      <w:r>
        <w:t xml:space="preserve">context-undermining </w:t>
      </w:r>
      <w:r w:rsidR="001D1A7D">
        <w:t xml:space="preserve">treatment of the earlier fiduciary case </w:t>
      </w:r>
      <w:r>
        <w:t xml:space="preserve">does not apply here. Suppose that, as the application deadline for places </w:t>
      </w:r>
      <w:r w:rsidR="00E8486D">
        <w:t xml:space="preserve">at St </w:t>
      </w:r>
      <w:proofErr w:type="spellStart"/>
      <w:r w:rsidR="00E8486D">
        <w:t>Smug’s</w:t>
      </w:r>
      <w:proofErr w:type="spellEnd"/>
      <w:r w:rsidR="00E8486D">
        <w:t xml:space="preserve"> </w:t>
      </w:r>
      <w:r>
        <w:t xml:space="preserve">approaches, the local community faces a </w:t>
      </w:r>
      <w:r w:rsidR="00E8486D">
        <w:t xml:space="preserve">sudden </w:t>
      </w:r>
      <w:r>
        <w:t>crisis</w:t>
      </w:r>
      <w:r w:rsidR="00E8486D">
        <w:t xml:space="preserve">: they need </w:t>
      </w:r>
      <w:r w:rsidR="00462D82">
        <w:t>Colin</w:t>
      </w:r>
      <w:r w:rsidR="00E8486D">
        <w:t xml:space="preserve"> to drop everything to coordinate a media campaign against a disastrous development proposal.</w:t>
      </w:r>
      <w:r>
        <w:t xml:space="preserve"> This </w:t>
      </w:r>
      <w:r w:rsidR="00B9307A">
        <w:t>could put</w:t>
      </w:r>
      <w:r>
        <w:t xml:space="preserve"> him in a situation of </w:t>
      </w:r>
      <w:r w:rsidR="001D1A7D">
        <w:t xml:space="preserve">the earlier </w:t>
      </w:r>
      <w:r>
        <w:t xml:space="preserve">type (a), in which he must choose between </w:t>
      </w:r>
      <w:r w:rsidR="004468EE">
        <w:t xml:space="preserve">acting in different roles – either </w:t>
      </w:r>
      <w:r>
        <w:t xml:space="preserve">helping the community </w:t>
      </w:r>
      <w:r w:rsidR="004468EE">
        <w:t>or</w:t>
      </w:r>
      <w:r>
        <w:t xml:space="preserve"> deciding on his son’s education. And as before, if the stakes are high enough, we could have a case in which he ought to do the former </w:t>
      </w:r>
      <w:r w:rsidRPr="001D1A7D">
        <w:t xml:space="preserve">instead of </w:t>
      </w:r>
      <w:r>
        <w:t xml:space="preserve">the latter. However, now there is a difference. In the earlier case, the trustee who decides to deal with an emergency instead of acting in the fiduciary role </w:t>
      </w:r>
      <w:r w:rsidR="001D1A7D">
        <w:t>is (</w:t>
      </w:r>
      <w:r w:rsidR="0036370E">
        <w:t>justifiably</w:t>
      </w:r>
      <w:r w:rsidR="001D1A7D">
        <w:t>)</w:t>
      </w:r>
      <w:r>
        <w:t xml:space="preserve"> break</w:t>
      </w:r>
      <w:r w:rsidR="001D1A7D">
        <w:t>ing</w:t>
      </w:r>
      <w:r>
        <w:t xml:space="preserve"> a promise. But here, there is no broken promise. </w:t>
      </w:r>
      <w:r w:rsidR="001D1A7D">
        <w:t>This time</w:t>
      </w:r>
      <w:r>
        <w:t xml:space="preserve">, Colin </w:t>
      </w:r>
      <w:r>
        <w:rPr>
          <w:i/>
        </w:rPr>
        <w:t>can</w:t>
      </w:r>
      <w:r>
        <w:t xml:space="preserve"> credibly say </w:t>
      </w:r>
      <w:r w:rsidR="00E8486D">
        <w:t xml:space="preserve">to his wife </w:t>
      </w:r>
      <w:r>
        <w:t xml:space="preserve">that when he helps the </w:t>
      </w:r>
      <w:proofErr w:type="gramStart"/>
      <w:r>
        <w:t>community</w:t>
      </w:r>
      <w:proofErr w:type="gramEnd"/>
      <w:r>
        <w:t xml:space="preserve"> he is not breaking his promise to </w:t>
      </w:r>
      <w:r w:rsidR="00E8486D">
        <w:t>her</w:t>
      </w:r>
      <w:r>
        <w:t xml:space="preserve">. His promise concerns how his decision-making about their son’s education will be conducted when he is engaged in it. It is not a promise about giving priority to that decision-making activity over the other activities competing for his attention. </w:t>
      </w:r>
      <w:r w:rsidR="000A7E2E">
        <w:t xml:space="preserve">This is the point of describing Colin’s commitment as </w:t>
      </w:r>
      <w:r>
        <w:rPr>
          <w:i/>
        </w:rPr>
        <w:t>task-based</w:t>
      </w:r>
      <w:r>
        <w:t xml:space="preserve">: it is a commitment about how he will conduct himself </w:t>
      </w:r>
      <w:r>
        <w:rPr>
          <w:i/>
        </w:rPr>
        <w:t xml:space="preserve">when </w:t>
      </w:r>
      <w:r>
        <w:t>he is engaged in a certain task. The commitment that one makes in taking on a professional fiduciary role is stronger than that: it is a commitment concerning the priority that one will give t</w:t>
      </w:r>
      <w:r w:rsidR="00F57D0E">
        <w:t>o performing the fiduciary task</w:t>
      </w:r>
      <w:r>
        <w:t xml:space="preserve">, not merely how one will conduct oneself when performing </w:t>
      </w:r>
      <w:r w:rsidR="00F57D0E">
        <w:t>it</w:t>
      </w:r>
      <w:r>
        <w:t>.</w:t>
      </w:r>
    </w:p>
    <w:p w14:paraId="10576E82" w14:textId="1D1D4022" w:rsidR="00AB3819" w:rsidRPr="00AB3819" w:rsidRDefault="00AB3819" w:rsidP="00AB3819">
      <w:pPr>
        <w:tabs>
          <w:tab w:val="left" w:pos="284"/>
        </w:tabs>
      </w:pPr>
      <w:r>
        <w:tab/>
        <w:t xml:space="preserve">This means that where, earlier, we needed to invoke context-undermining in order to explain the difference between cases (a) and (b), here the difference between the corresponding cases </w:t>
      </w:r>
      <w:r>
        <w:lastRenderedPageBreak/>
        <w:t xml:space="preserve">can be explained without it. In an (a)-type case in which Colin helps the community instead of directing his son’s education, there is no broken promise. But in the (b)-type case </w:t>
      </w:r>
      <w:r w:rsidR="001D1A7D">
        <w:t>in which</w:t>
      </w:r>
      <w:r>
        <w:t xml:space="preserve"> Colin sends the application to the wrong address and thus helps the community </w:t>
      </w:r>
      <w:r>
        <w:rPr>
          <w:i/>
        </w:rPr>
        <w:t>by</w:t>
      </w:r>
      <w:r>
        <w:t xml:space="preserve"> directing his son’s education, he does break his promise. </w:t>
      </w:r>
      <w:proofErr w:type="gramStart"/>
      <w:r>
        <w:t>So</w:t>
      </w:r>
      <w:proofErr w:type="gramEnd"/>
      <w:r>
        <w:t xml:space="preserve"> we can explain the difference between the cases, allowing that Colin ought to help the community in the first way but not the second, by simply appealing to the weight that </w:t>
      </w:r>
      <w:r w:rsidR="001D1A7D">
        <w:t>his</w:t>
      </w:r>
      <w:r>
        <w:t xml:space="preserve"> promise has as a reason against the second action</w:t>
      </w:r>
      <w:r w:rsidR="001D1A7D">
        <w:t xml:space="preserve"> but not the first</w:t>
      </w:r>
      <w:r>
        <w:t xml:space="preserve">. </w:t>
      </w:r>
    </w:p>
    <w:p w14:paraId="3A3B2C33" w14:textId="5013302B" w:rsidR="00AB3819" w:rsidRDefault="001D1A7D" w:rsidP="00AB3819">
      <w:pPr>
        <w:tabs>
          <w:tab w:val="left" w:pos="284"/>
        </w:tabs>
      </w:pPr>
      <w:r>
        <w:tab/>
      </w:r>
      <w:r w:rsidR="00462D82">
        <w:t>We</w:t>
      </w:r>
      <w:r w:rsidR="00E8486D">
        <w:t xml:space="preserve"> should </w:t>
      </w:r>
      <w:r w:rsidR="00462D82">
        <w:t xml:space="preserve">therefore </w:t>
      </w:r>
      <w:r w:rsidR="00E8486D">
        <w:t>distinguish the</w:t>
      </w:r>
      <w:r>
        <w:t xml:space="preserve"> t</w:t>
      </w:r>
      <w:r w:rsidR="00AB3819">
        <w:t xml:space="preserve">ask-based commitments </w:t>
      </w:r>
      <w:r w:rsidR="00C84128">
        <w:t xml:space="preserve">that are a source of reasons-exclusion </w:t>
      </w:r>
      <w:r w:rsidR="00AB3819">
        <w:t xml:space="preserve">from </w:t>
      </w:r>
      <w:r w:rsidR="00C84128">
        <w:t xml:space="preserve">the </w:t>
      </w:r>
      <w:r w:rsidR="009A2B91">
        <w:t xml:space="preserve">earlier </w:t>
      </w:r>
      <w:r w:rsidR="00C84128">
        <w:t xml:space="preserve">kind of fiduciary commitment that gives rise to </w:t>
      </w:r>
      <w:r w:rsidR="00AB3819">
        <w:t>context-undermin</w:t>
      </w:r>
      <w:r w:rsidR="00C84128">
        <w:t xml:space="preserve">ing. </w:t>
      </w:r>
      <w:r w:rsidR="009A2B91">
        <w:t xml:space="preserve">However, having distinguished the two, we should now notice that it is not only fiduciary commitments that have important professional applications: </w:t>
      </w:r>
      <w:r w:rsidR="00C84128">
        <w:t xml:space="preserve">task-based commitments </w:t>
      </w:r>
      <w:r w:rsidR="009A2B91">
        <w:t>do so</w:t>
      </w:r>
      <w:r w:rsidR="00C84128">
        <w:t xml:space="preserve"> too. </w:t>
      </w:r>
      <w:r w:rsidR="00462D82">
        <w:t>They</w:t>
      </w:r>
      <w:r w:rsidR="00C84128">
        <w:t xml:space="preserve"> apply w</w:t>
      </w:r>
      <w:r>
        <w:t>herever a professional</w:t>
      </w:r>
      <w:r w:rsidR="00AB3819">
        <w:t xml:space="preserve"> role involves having to juggle different responsibilities. </w:t>
      </w:r>
    </w:p>
    <w:p w14:paraId="5DA5CB8C" w14:textId="419D1BD0" w:rsidR="00AB3819" w:rsidRDefault="00AB3819" w:rsidP="00AB3819">
      <w:pPr>
        <w:tabs>
          <w:tab w:val="left" w:pos="284"/>
        </w:tabs>
      </w:pPr>
      <w:r>
        <w:tab/>
      </w:r>
      <w:r w:rsidR="00A837CD">
        <w:t>To see this, consider</w:t>
      </w:r>
      <w:r>
        <w:t xml:space="preserve"> the position of a medical consultant working in a teaching hospital. This role can carry responsibilities in patient care, teaching and examining medical students, research, supervision of junior staff, and administration. Earlier, I pointed out that in presenting yourself to others as a doctor, you commit yourself to exercising a kind of agency on which only medical reasons bear. </w:t>
      </w:r>
      <w:r w:rsidR="007D2B84">
        <w:t xml:space="preserve">This is a global commitment governing </w:t>
      </w:r>
      <w:r w:rsidR="00F57D0E">
        <w:t xml:space="preserve">all of </w:t>
      </w:r>
      <w:r w:rsidR="007D2B84">
        <w:t xml:space="preserve">your actions as a doctor: it has the context-undermining function explained earlier. </w:t>
      </w:r>
      <w:r>
        <w:t>Financial inducements are not available as reasons bearing on your decision-making and action as a doctor</w:t>
      </w:r>
      <w:r w:rsidR="0072290A">
        <w:t>: only medical reasons have that bearing</w:t>
      </w:r>
      <w:r>
        <w:t xml:space="preserve">. However, </w:t>
      </w:r>
      <w:r w:rsidR="007D2B84">
        <w:t>this still leaves you with various different</w:t>
      </w:r>
      <w:r>
        <w:t xml:space="preserve"> medical reasons that b</w:t>
      </w:r>
      <w:r w:rsidR="007D2B84">
        <w:t>ear on your actions</w:t>
      </w:r>
      <w:r>
        <w:t xml:space="preserve">, </w:t>
      </w:r>
      <w:r w:rsidR="007D2B84">
        <w:t>each competing</w:t>
      </w:r>
      <w:r>
        <w:t xml:space="preserve"> for your attention. </w:t>
      </w:r>
      <w:r w:rsidR="007D2B84">
        <w:t>All that is needed to make this true is</w:t>
      </w:r>
      <w:r>
        <w:t xml:space="preserve"> that you have more than one patient: then any time you spend on supplying medical care to one patient is time you could have spent on another. This </w:t>
      </w:r>
      <w:r w:rsidR="007D2B84">
        <w:t xml:space="preserve">competition </w:t>
      </w:r>
      <w:r>
        <w:t>is then amplified by all of the other responsibilities attached to the role.</w:t>
      </w:r>
      <w:r w:rsidR="00D3151E">
        <w:rPr>
          <w:rStyle w:val="EndnoteReference"/>
        </w:rPr>
        <w:endnoteReference w:id="32"/>
      </w:r>
      <w:r>
        <w:t xml:space="preserve"> </w:t>
      </w:r>
      <w:r w:rsidR="007D2B84">
        <w:t xml:space="preserve">A job such as this </w:t>
      </w:r>
      <w:r>
        <w:t xml:space="preserve">presents you with a </w:t>
      </w:r>
      <w:r>
        <w:lastRenderedPageBreak/>
        <w:t>continuous sequence of choices about how to allocate your time, depending on an assessment of the relative strengths of the medically relevant reasons. When one patient’s condition worsens, you will need to attend to her instead of the other patient who had been expecting to see you; if the research project you are engaged in needs your urgent attention, you may have to postpone all of your patient appointments.</w:t>
      </w:r>
    </w:p>
    <w:p w14:paraId="75FF610A" w14:textId="3695E218" w:rsidR="007D2B84" w:rsidRDefault="007D2B84" w:rsidP="00AB3819">
      <w:pPr>
        <w:tabs>
          <w:tab w:val="left" w:pos="284"/>
        </w:tabs>
      </w:pPr>
      <w:r>
        <w:tab/>
        <w:t xml:space="preserve">When, </w:t>
      </w:r>
      <w:r w:rsidR="000B7E95">
        <w:t>upon deciding</w:t>
      </w:r>
      <w:r>
        <w:t xml:space="preserve"> which of these competing medical reasons prevails, you engage in a particular task within the role, </w:t>
      </w:r>
      <w:r w:rsidR="000A7E2E">
        <w:t>this amounts to making</w:t>
      </w:r>
      <w:r>
        <w:t xml:space="preserve"> a </w:t>
      </w:r>
      <w:r w:rsidR="00163F43">
        <w:t xml:space="preserve">further commitment. This is a task-based commitment of the </w:t>
      </w:r>
      <w:r w:rsidR="000B7E95">
        <w:t xml:space="preserve">same </w:t>
      </w:r>
      <w:r w:rsidR="00163F43">
        <w:t xml:space="preserve">kind as Colin’s promise. When you are treating one patient, you commit yourself to being guided by </w:t>
      </w:r>
      <w:r w:rsidR="00D61211">
        <w:t>a restricted range of</w:t>
      </w:r>
      <w:r w:rsidR="00163F43">
        <w:t xml:space="preserve"> medical </w:t>
      </w:r>
      <w:r w:rsidR="00D61211">
        <w:t>reasons</w:t>
      </w:r>
      <w:r w:rsidR="00163F43">
        <w:t xml:space="preserve">. </w:t>
      </w:r>
      <w:r w:rsidR="00D61211">
        <w:t xml:space="preserve">The most prominent of these are your patient’s medical interests. These are not the </w:t>
      </w:r>
      <w:r w:rsidR="00D61211">
        <w:rPr>
          <w:i/>
        </w:rPr>
        <w:t>only</w:t>
      </w:r>
      <w:r w:rsidR="00D61211">
        <w:t xml:space="preserve"> reasons that bear on your treatment of </w:t>
      </w:r>
      <w:r w:rsidR="000B7E95">
        <w:t>her</w:t>
      </w:r>
      <w:r w:rsidR="00D61211">
        <w:t xml:space="preserve">. </w:t>
      </w:r>
      <w:r w:rsidR="001E43C9">
        <w:t xml:space="preserve">The promise you implicitly make to your patient in acting as </w:t>
      </w:r>
      <w:r w:rsidR="000B7E95">
        <w:t>her</w:t>
      </w:r>
      <w:r w:rsidR="001E43C9">
        <w:t xml:space="preserve"> doctor is constrained by other medical reasons: you are not promising to allocate medical resources to </w:t>
      </w:r>
      <w:r w:rsidR="000B7E95">
        <w:t>her</w:t>
      </w:r>
      <w:r w:rsidR="001E43C9">
        <w:t xml:space="preserve"> to the detriment of your other patients, </w:t>
      </w:r>
      <w:r w:rsidR="000B7E95">
        <w:t xml:space="preserve">or </w:t>
      </w:r>
      <w:r w:rsidR="001E43C9">
        <w:t xml:space="preserve">to benefit </w:t>
      </w:r>
      <w:r w:rsidR="000B7E95">
        <w:t>her</w:t>
      </w:r>
      <w:r w:rsidR="001E43C9">
        <w:t xml:space="preserve"> in a way that jeopardizes public health or breaches professional codes. But </w:t>
      </w:r>
      <w:r w:rsidR="000A7E2E">
        <w:t xml:space="preserve">the task-based commitment you have made means that </w:t>
      </w:r>
      <w:r w:rsidR="001E43C9">
        <w:t>some of your medical reasons are subject to exclusion. Your treatment of one of your patients cannot be guided by the interesting research findings it could generate, the time it could save you to spend on your other patients</w:t>
      </w:r>
      <w:r w:rsidR="000B7E95">
        <w:t>, or the useful case study it would provide as teaching material</w:t>
      </w:r>
      <w:r w:rsidR="001E43C9">
        <w:t xml:space="preserve">. </w:t>
      </w:r>
    </w:p>
    <w:p w14:paraId="11F4DC22" w14:textId="778884F2" w:rsidR="00AB3819" w:rsidRDefault="00690C06" w:rsidP="00AB3819">
      <w:pPr>
        <w:tabs>
          <w:tab w:val="left" w:pos="284"/>
        </w:tabs>
      </w:pPr>
      <w:r>
        <w:tab/>
        <w:t xml:space="preserve">The commitment you make not to do this, like Colin’s promise, has a conditional structure. You implicitly promise each of your patients that </w:t>
      </w:r>
      <w:r>
        <w:rPr>
          <w:i/>
        </w:rPr>
        <w:t>when</w:t>
      </w:r>
      <w:r>
        <w:t xml:space="preserve"> you are attending to her your action will be guided by her medical interests</w:t>
      </w:r>
      <w:r w:rsidR="000B7E95">
        <w:t>, to the exclusion of those other medical reasons</w:t>
      </w:r>
      <w:r>
        <w:t xml:space="preserve">. In so doing, your promise </w:t>
      </w:r>
      <w:r w:rsidR="005B0E56">
        <w:t>functions as</w:t>
      </w:r>
      <w:r>
        <w:t xml:space="preserve"> an exclusionary reason. But the commitment you thereby make is task-based. You make no commitment to attend to one patient rather than others, or to attend to your patients rather than your research projects.</w:t>
      </w:r>
      <w:r w:rsidRPr="00690C06">
        <w:t xml:space="preserve"> </w:t>
      </w:r>
      <w:r>
        <w:t xml:space="preserve">When you attend to one patient instead of </w:t>
      </w:r>
      <w:proofErr w:type="gramStart"/>
      <w:r>
        <w:t>another, or</w:t>
      </w:r>
      <w:proofErr w:type="gramEnd"/>
      <w:r>
        <w:t xml:space="preserve"> attend to your research project rather than your patients, you are not </w:t>
      </w:r>
      <w:r>
        <w:lastRenderedPageBreak/>
        <w:t>breaking any promise to them.</w:t>
      </w:r>
      <w:r w:rsidR="00044A95">
        <w:rPr>
          <w:rStyle w:val="EndnoteReference"/>
        </w:rPr>
        <w:endnoteReference w:id="33"/>
      </w:r>
      <w:r>
        <w:t xml:space="preserve"> </w:t>
      </w:r>
      <w:r w:rsidR="00AB3819">
        <w:t xml:space="preserve">However, as in the case of Colin, your commitment functions as a first-order reason for action as well as an exclusionary reason governing the reasons that can legitimately guide it. </w:t>
      </w:r>
      <w:r>
        <w:t xml:space="preserve">It gives you a reason </w:t>
      </w:r>
      <w:r>
        <w:rPr>
          <w:i/>
        </w:rPr>
        <w:t xml:space="preserve">to do </w:t>
      </w:r>
      <w:r>
        <w:t xml:space="preserve">what you believe to be best for the patient you are treating. </w:t>
      </w:r>
      <w:r w:rsidR="00AB3819" w:rsidRPr="00AB3819">
        <w:t>If you rigorously confine yourself to thinking about what is in your patient’</w:t>
      </w:r>
      <w:r w:rsidR="005B0E56">
        <w:t>s</w:t>
      </w:r>
      <w:r w:rsidR="00AB3819" w:rsidRPr="00AB3819">
        <w:t xml:space="preserve"> best interests, then accidentally bungle your treatment instructions and end up prescribing a series of useless treatments that produce some fascinating research results, you cannot congratulate yourself that you have both kept y</w:t>
      </w:r>
      <w:r w:rsidR="005B0E56">
        <w:t>our undertaking to your patient</w:t>
      </w:r>
      <w:r w:rsidR="00AB3819" w:rsidRPr="00AB3819">
        <w:t xml:space="preserve"> and assigned the treatment you had most reason to assign.</w:t>
      </w:r>
    </w:p>
    <w:p w14:paraId="7E5ED6C6" w14:textId="4B1AF045" w:rsidR="00AB3819" w:rsidRDefault="00AB3819" w:rsidP="00AB3819">
      <w:pPr>
        <w:tabs>
          <w:tab w:val="left" w:pos="284"/>
        </w:tabs>
      </w:pPr>
    </w:p>
    <w:p w14:paraId="63806C5E" w14:textId="5A20FBED" w:rsidR="00AB3819" w:rsidRDefault="00953B92" w:rsidP="00953B92">
      <w:pPr>
        <w:tabs>
          <w:tab w:val="left" w:pos="284"/>
        </w:tabs>
        <w:jc w:val="center"/>
        <w:rPr>
          <w:b/>
        </w:rPr>
      </w:pPr>
      <w:r>
        <w:rPr>
          <w:b/>
        </w:rPr>
        <w:t>VII: Exclusion</w:t>
      </w:r>
      <w:r w:rsidR="00327BC7">
        <w:rPr>
          <w:b/>
        </w:rPr>
        <w:t xml:space="preserve"> through</w:t>
      </w:r>
      <w:r>
        <w:rPr>
          <w:b/>
        </w:rPr>
        <w:t xml:space="preserve"> Self-Mistrust</w:t>
      </w:r>
    </w:p>
    <w:p w14:paraId="73244C89" w14:textId="77777777" w:rsidR="00953B92" w:rsidRPr="00953B92" w:rsidRDefault="00953B92" w:rsidP="00953B92">
      <w:pPr>
        <w:tabs>
          <w:tab w:val="left" w:pos="284"/>
        </w:tabs>
        <w:jc w:val="center"/>
        <w:rPr>
          <w:b/>
        </w:rPr>
      </w:pPr>
    </w:p>
    <w:p w14:paraId="5CF55C3F" w14:textId="1BA3874D" w:rsidR="00F400C2" w:rsidRDefault="00FA0E15" w:rsidP="00AB3819">
      <w:pPr>
        <w:tabs>
          <w:tab w:val="left" w:pos="284"/>
        </w:tabs>
      </w:pPr>
      <w:r>
        <w:t>We have seen that</w:t>
      </w:r>
      <w:r w:rsidR="000A7E2E">
        <w:t xml:space="preserve"> </w:t>
      </w:r>
      <w:r w:rsidR="00F400C2">
        <w:t xml:space="preserve">deliberative restrictions </w:t>
      </w:r>
      <w:r>
        <w:t xml:space="preserve">can be </w:t>
      </w:r>
      <w:r w:rsidR="00F400C2">
        <w:t xml:space="preserve">imposed by the </w:t>
      </w:r>
      <w:r w:rsidR="00F400C2" w:rsidRPr="00462D82">
        <w:t>commitments</w:t>
      </w:r>
      <w:r w:rsidR="00F400C2">
        <w:t xml:space="preserve"> you make to others in presenting yourself to them as the occupant of a professional role. </w:t>
      </w:r>
      <w:r>
        <w:t>I have been emphasizing that this can happen in</w:t>
      </w:r>
      <w:r w:rsidR="000A7E2E">
        <w:t xml:space="preserve"> two different ways. </w:t>
      </w:r>
      <w:r w:rsidR="00F400C2">
        <w:t xml:space="preserve">First, </w:t>
      </w:r>
      <w:r w:rsidR="0025697E">
        <w:t xml:space="preserve">saying that you will act in a professional capacity can amount to making a </w:t>
      </w:r>
      <w:r w:rsidR="00DD0BD7">
        <w:t xml:space="preserve">global commitment to exercise a kind of agency on which a restricted range of reasons </w:t>
      </w:r>
      <w:proofErr w:type="gramStart"/>
      <w:r w:rsidR="00DD0BD7">
        <w:t>bears:</w:t>
      </w:r>
      <w:proofErr w:type="gramEnd"/>
      <w:r w:rsidR="00DD0BD7">
        <w:t xml:space="preserve"> fiduciary, institution</w:t>
      </w:r>
      <w:r w:rsidR="00CB6167">
        <w:t>al</w:t>
      </w:r>
      <w:r w:rsidR="00DD0BD7">
        <w:t xml:space="preserve"> and medical agency were given as examples of this. Here, context-undermining </w:t>
      </w:r>
      <w:proofErr w:type="gramStart"/>
      <w:r w:rsidR="00DD0BD7">
        <w:t>applies:</w:t>
      </w:r>
      <w:proofErr w:type="gramEnd"/>
      <w:r w:rsidR="00DD0BD7">
        <w:t xml:space="preserve"> non-professional considerations lack the status of reasons for </w:t>
      </w:r>
      <w:r w:rsidR="0025697E">
        <w:t xml:space="preserve">the </w:t>
      </w:r>
      <w:r w:rsidR="00DD0BD7">
        <w:t>professional actions</w:t>
      </w:r>
      <w:r w:rsidR="0025697E">
        <w:t xml:space="preserve"> in which agency of these kinds is exercised</w:t>
      </w:r>
      <w:r w:rsidR="00DD0BD7">
        <w:t xml:space="preserve">. </w:t>
      </w:r>
      <w:r w:rsidR="002F3BA4">
        <w:t>Then,</w:t>
      </w:r>
      <w:r w:rsidR="00F400C2">
        <w:t xml:space="preserve"> secondly, there are </w:t>
      </w:r>
      <w:r w:rsidR="00DD0BD7">
        <w:t xml:space="preserve">the task-based commitments you make when you pursue particular tasks within </w:t>
      </w:r>
      <w:r w:rsidR="0025697E">
        <w:t>your</w:t>
      </w:r>
      <w:r w:rsidR="00DD0BD7">
        <w:t xml:space="preserve"> role. These commitments function as exclusionary reasons: </w:t>
      </w:r>
      <w:r w:rsidR="00F400C2">
        <w:t xml:space="preserve">when you undertake to perform a professional task for someone, </w:t>
      </w:r>
      <w:r w:rsidR="00DD0BD7">
        <w:t>this can commit you to being</w:t>
      </w:r>
      <w:r w:rsidR="00F400C2">
        <w:t xml:space="preserve"> guided by only some of the professional reasons you have</w:t>
      </w:r>
      <w:r w:rsidR="0025697E">
        <w:t xml:space="preserve"> and not others</w:t>
      </w:r>
      <w:r w:rsidR="00F400C2">
        <w:t xml:space="preserve">. </w:t>
      </w:r>
    </w:p>
    <w:p w14:paraId="1452CC14" w14:textId="056D1F4B" w:rsidR="00F400C2" w:rsidRPr="00F400C2" w:rsidRDefault="00F400C2" w:rsidP="00F400C2">
      <w:pPr>
        <w:tabs>
          <w:tab w:val="left" w:pos="284"/>
        </w:tabs>
      </w:pPr>
      <w:r w:rsidRPr="00F400C2">
        <w:tab/>
      </w:r>
      <w:r>
        <w:t xml:space="preserve">However, </w:t>
      </w:r>
      <w:r w:rsidR="00DD0BD7">
        <w:t>I made the point earlier that no promise is capable of generating an absolute moral requirement</w:t>
      </w:r>
      <w:r w:rsidRPr="00F400C2">
        <w:t xml:space="preserve">. </w:t>
      </w:r>
      <w:r w:rsidR="00DD0BD7">
        <w:t>For any commitment you make, there is</w:t>
      </w:r>
      <w:r w:rsidRPr="00F400C2">
        <w:t xml:space="preserve"> some conceivable situation in which </w:t>
      </w:r>
      <w:r w:rsidR="004713E5">
        <w:t>it</w:t>
      </w:r>
      <w:r w:rsidRPr="00F400C2">
        <w:t xml:space="preserve"> </w:t>
      </w:r>
      <w:r w:rsidRPr="00F400C2">
        <w:lastRenderedPageBreak/>
        <w:t xml:space="preserve">must be broken. If </w:t>
      </w:r>
      <w:r w:rsidR="00CB6167">
        <w:t>you</w:t>
      </w:r>
      <w:r w:rsidRPr="00F400C2">
        <w:t xml:space="preserve"> need to gather intelligence to avert a terrible war, and this requires </w:t>
      </w:r>
      <w:r w:rsidR="00CB6167">
        <w:t>you</w:t>
      </w:r>
      <w:r w:rsidRPr="00F400C2">
        <w:t xml:space="preserve"> to pass </w:t>
      </w:r>
      <w:r w:rsidR="00CB6167">
        <w:t>your</w:t>
      </w:r>
      <w:r w:rsidRPr="00F400C2">
        <w:t xml:space="preserve">self off as a doctor in order to spy for </w:t>
      </w:r>
      <w:r w:rsidR="00CB6167">
        <w:t>your</w:t>
      </w:r>
      <w:r w:rsidRPr="00F400C2">
        <w:t xml:space="preserve"> country, </w:t>
      </w:r>
      <w:r w:rsidR="00CB6167">
        <w:t>you</w:t>
      </w:r>
      <w:r w:rsidR="004713E5">
        <w:t xml:space="preserve"> could be morally required to do th</w:t>
      </w:r>
      <w:r w:rsidRPr="00F400C2">
        <w:t>at, all things considered.</w:t>
      </w:r>
      <w:r w:rsidR="00327BC7">
        <w:t xml:space="preserve"> </w:t>
      </w:r>
      <w:r w:rsidR="00CB6167">
        <w:t>You</w:t>
      </w:r>
      <w:r w:rsidR="00327BC7">
        <w:t xml:space="preserve"> would thereby be making and </w:t>
      </w:r>
      <w:r w:rsidR="000A7E2E">
        <w:t xml:space="preserve">breaking a commitment to the patients </w:t>
      </w:r>
      <w:r w:rsidR="00CB6167">
        <w:t>you</w:t>
      </w:r>
      <w:r w:rsidR="000A7E2E">
        <w:t xml:space="preserve"> deceive, but justifiably so.</w:t>
      </w:r>
      <w:r w:rsidR="00327BC7">
        <w:t xml:space="preserve"> </w:t>
      </w:r>
      <w:r w:rsidRPr="00F400C2">
        <w:t xml:space="preserve"> </w:t>
      </w:r>
    </w:p>
    <w:p w14:paraId="7A7DFA2E" w14:textId="69AE221F" w:rsidR="00953B92" w:rsidRDefault="00F400C2" w:rsidP="00F400C2">
      <w:pPr>
        <w:tabs>
          <w:tab w:val="left" w:pos="284"/>
        </w:tabs>
      </w:pPr>
      <w:r w:rsidRPr="00F400C2">
        <w:tab/>
      </w:r>
      <w:proofErr w:type="gramStart"/>
      <w:r w:rsidRPr="00F400C2">
        <w:t>So</w:t>
      </w:r>
      <w:proofErr w:type="gramEnd"/>
      <w:r w:rsidRPr="00F400C2">
        <w:t xml:space="preserve"> the duties we have to adhere to standard</w:t>
      </w:r>
      <w:r>
        <w:t xml:space="preserve">s of professional integrity allow for the possibility that they must sometimes be </w:t>
      </w:r>
      <w:r w:rsidR="004713E5">
        <w:t>infringed</w:t>
      </w:r>
      <w:r w:rsidRPr="00F400C2">
        <w:t xml:space="preserve">. However, this leads us to </w:t>
      </w:r>
      <w:r w:rsidR="00FA0E15">
        <w:t>a further,</w:t>
      </w:r>
      <w:r>
        <w:t xml:space="preserve"> final</w:t>
      </w:r>
      <w:r w:rsidRPr="00F400C2">
        <w:t xml:space="preserve"> application of reasons</w:t>
      </w:r>
      <w:r w:rsidR="00FA0E15">
        <w:t>-exclusion</w:t>
      </w:r>
      <w:r w:rsidRPr="00F400C2">
        <w:t xml:space="preserve"> to professional life</w:t>
      </w:r>
      <w:r>
        <w:t xml:space="preserve">: </w:t>
      </w:r>
      <w:r w:rsidR="00FA0E15">
        <w:t>one that</w:t>
      </w:r>
      <w:r>
        <w:t xml:space="preserve"> comes from self-mistrust.</w:t>
      </w:r>
    </w:p>
    <w:p w14:paraId="4A4205D8" w14:textId="78D326B9" w:rsidR="00C44AF4" w:rsidRDefault="004D41C0" w:rsidP="002133B8">
      <w:pPr>
        <w:tabs>
          <w:tab w:val="left" w:pos="284"/>
        </w:tabs>
      </w:pPr>
      <w:r>
        <w:tab/>
      </w:r>
      <w:r w:rsidR="00F400C2">
        <w:t>This source of reasons</w:t>
      </w:r>
      <w:r w:rsidR="00FA0E15">
        <w:t>-exclusion</w:t>
      </w:r>
      <w:r w:rsidR="00F400C2">
        <w:t xml:space="preserve"> is the one Raz illustrates with the </w:t>
      </w:r>
      <w:r w:rsidR="004713E5">
        <w:t>tired</w:t>
      </w:r>
      <w:r>
        <w:t xml:space="preserve"> investor Ann. </w:t>
      </w:r>
      <w:r w:rsidR="00F400C2">
        <w:t xml:space="preserve">This is unlike the other </w:t>
      </w:r>
      <w:r w:rsidR="00FA0E15">
        <w:t>two sources of</w:t>
      </w:r>
      <w:r w:rsidR="00F400C2">
        <w:t xml:space="preserve"> reasons</w:t>
      </w:r>
      <w:r w:rsidR="00FA0E15">
        <w:t>-exclusion</w:t>
      </w:r>
      <w:r w:rsidR="00F400C2">
        <w:t>, in the following respect.</w:t>
      </w:r>
      <w:r>
        <w:t xml:space="preserve"> </w:t>
      </w:r>
      <w:r w:rsidR="00F400C2">
        <w:t>Ann’s</w:t>
      </w:r>
      <w:r w:rsidR="00FA0E15">
        <w:t xml:space="preserve"> grounds for self-mistrust, which function as exclusionary reasons, </w:t>
      </w:r>
      <w:r>
        <w:t xml:space="preserve">do </w:t>
      </w:r>
      <w:r w:rsidRPr="00FA0E15">
        <w:rPr>
          <w:i/>
        </w:rPr>
        <w:t>not</w:t>
      </w:r>
      <w:r>
        <w:t xml:space="preserve"> </w:t>
      </w:r>
      <w:r w:rsidR="00FA0E15">
        <w:t xml:space="preserve">also </w:t>
      </w:r>
      <w:r>
        <w:t xml:space="preserve">function as first-order reasons for or against an investment decision. </w:t>
      </w:r>
      <w:r w:rsidR="00FA0E15">
        <w:t>The first-order reasons are confined to</w:t>
      </w:r>
      <w:r w:rsidR="004713E5">
        <w:t xml:space="preserve"> the benefits and costs attached to making the investment. The</w:t>
      </w:r>
      <w:r>
        <w:t xml:space="preserve"> </w:t>
      </w:r>
      <w:r w:rsidR="00FA0E15">
        <w:t>fact that Ann is exhausted calls</w:t>
      </w:r>
      <w:r w:rsidR="0025697E">
        <w:t xml:space="preserve"> into question</w:t>
      </w:r>
      <w:r>
        <w:t xml:space="preserve"> </w:t>
      </w:r>
      <w:r w:rsidR="004713E5">
        <w:t xml:space="preserve">the reliability of her access to the balance of those </w:t>
      </w:r>
      <w:r w:rsidR="00FA0E15">
        <w:t xml:space="preserve">first-order </w:t>
      </w:r>
      <w:r w:rsidR="004713E5">
        <w:t>reasons</w:t>
      </w:r>
      <w:r w:rsidR="0025697E">
        <w:t>; but</w:t>
      </w:r>
      <w:r w:rsidR="004713E5">
        <w:t xml:space="preserve"> </w:t>
      </w:r>
      <w:r w:rsidR="00FA0E15">
        <w:t>it is</w:t>
      </w:r>
      <w:r w:rsidR="004713E5">
        <w:t xml:space="preserve"> not </w:t>
      </w:r>
      <w:r w:rsidR="00FA0E15">
        <w:t>itself</w:t>
      </w:r>
      <w:r w:rsidR="004713E5">
        <w:t xml:space="preserve"> a further </w:t>
      </w:r>
      <w:r w:rsidR="00FA0E15">
        <w:t>reason</w:t>
      </w:r>
      <w:r w:rsidR="004713E5">
        <w:t xml:space="preserve"> to </w:t>
      </w:r>
      <w:r w:rsidR="00D13F62">
        <w:t xml:space="preserve">be </w:t>
      </w:r>
      <w:r w:rsidR="004713E5">
        <w:t>add</w:t>
      </w:r>
      <w:r w:rsidR="00D13F62">
        <w:t>ed</w:t>
      </w:r>
      <w:r w:rsidR="004713E5">
        <w:t xml:space="preserve"> to that balance</w:t>
      </w:r>
      <w:r>
        <w:t>.</w:t>
      </w:r>
      <w:r w:rsidR="00B013DC">
        <w:t xml:space="preserve"> </w:t>
      </w:r>
      <w:r w:rsidR="00D13F62">
        <w:t xml:space="preserve">Instead, the point is that </w:t>
      </w:r>
      <w:r w:rsidR="00D13F62">
        <w:rPr>
          <w:rFonts w:cs="Times New Roman"/>
        </w:rPr>
        <w:t>Ann</w:t>
      </w:r>
      <w:r w:rsidR="004713E5">
        <w:rPr>
          <w:rFonts w:cs="Times New Roman"/>
        </w:rPr>
        <w:t xml:space="preserve"> has</w:t>
      </w:r>
      <w:r w:rsidR="004713E5">
        <w:t xml:space="preserve"> good epistemic reasons not to trust her own judgement about the practical reasons bearing on her action. It </w:t>
      </w:r>
      <w:r w:rsidR="00EC5261">
        <w:t xml:space="preserve">is in this sense that the fact that she is exhausted is an </w:t>
      </w:r>
      <w:r w:rsidR="004713E5">
        <w:t xml:space="preserve">exclusionary reason against being guided by the reasons favouring the investment. </w:t>
      </w:r>
      <w:r w:rsidR="00EC5261">
        <w:t>Her exhaustion does</w:t>
      </w:r>
      <w:r w:rsidR="004713E5">
        <w:t xml:space="preserve"> not affect </w:t>
      </w:r>
      <w:r w:rsidR="00C44AF4">
        <w:t>whether the reasons favouring the investment outweigh the reasons against</w:t>
      </w:r>
      <w:r w:rsidR="004713E5">
        <w:t xml:space="preserve">, but </w:t>
      </w:r>
      <w:r w:rsidR="00EC5261">
        <w:t>it affects</w:t>
      </w:r>
      <w:r w:rsidR="00C44AF4">
        <w:t xml:space="preserve"> her ability to form justified beliefs about whether that is so.</w:t>
      </w:r>
    </w:p>
    <w:p w14:paraId="718F39E7" w14:textId="690D3E23" w:rsidR="00116456" w:rsidRDefault="00F400C2" w:rsidP="0025697E">
      <w:pPr>
        <w:tabs>
          <w:tab w:val="left" w:pos="284"/>
        </w:tabs>
      </w:pPr>
      <w:r>
        <w:tab/>
        <w:t>The pro</w:t>
      </w:r>
      <w:r w:rsidR="00C44AF4">
        <w:t>fessional application is this. We should accept that t</w:t>
      </w:r>
      <w:r>
        <w:t xml:space="preserve">here can be circumstances in which a duty of professional integrity must, all things considered, be violated. </w:t>
      </w:r>
      <w:r w:rsidR="00C44AF4">
        <w:t xml:space="preserve">Yes, there could conceivably be circumstances </w:t>
      </w:r>
      <w:r w:rsidR="00327BC7">
        <w:t>extreme enough to mean that</w:t>
      </w:r>
      <w:r w:rsidR="00C44AF4">
        <w:t xml:space="preserve">, as a police officer, I should all things considered beat a suspect in order to </w:t>
      </w:r>
      <w:r w:rsidR="00566E5E">
        <w:t xml:space="preserve">prevent something </w:t>
      </w:r>
      <w:r w:rsidR="00B9307A">
        <w:t xml:space="preserve">much </w:t>
      </w:r>
      <w:r w:rsidR="00566E5E">
        <w:t>worse from happening</w:t>
      </w:r>
      <w:r w:rsidR="00C44AF4">
        <w:t xml:space="preserve">. </w:t>
      </w:r>
      <w:r>
        <w:t xml:space="preserve">However, </w:t>
      </w:r>
      <w:r w:rsidR="00B9307A">
        <w:t>whenever</w:t>
      </w:r>
      <w:r w:rsidR="00566E5E">
        <w:t xml:space="preserve"> it appears to me that I am in such circumstances, there are</w:t>
      </w:r>
      <w:r w:rsidR="00C4162C">
        <w:t xml:space="preserve"> </w:t>
      </w:r>
      <w:r w:rsidR="00B9307A">
        <w:t>strong</w:t>
      </w:r>
      <w:r w:rsidR="00C4162C">
        <w:t xml:space="preserve"> </w:t>
      </w:r>
      <w:r w:rsidR="00CB0077">
        <w:t xml:space="preserve">inductive </w:t>
      </w:r>
      <w:r w:rsidR="00C4162C">
        <w:t xml:space="preserve">grounds </w:t>
      </w:r>
      <w:r w:rsidR="00566E5E">
        <w:t>for mistrusting the appearances</w:t>
      </w:r>
      <w:r w:rsidR="00673BD8">
        <w:t xml:space="preserve">. </w:t>
      </w:r>
      <w:r w:rsidR="00C44AF4">
        <w:t>T</w:t>
      </w:r>
      <w:r w:rsidR="00C4162C">
        <w:t xml:space="preserve">he factors that explain police brutality are </w:t>
      </w:r>
      <w:r w:rsidR="00C44AF4">
        <w:t xml:space="preserve">factors </w:t>
      </w:r>
      <w:r w:rsidR="00C44AF4">
        <w:lastRenderedPageBreak/>
        <w:t xml:space="preserve">that explain the tendency </w:t>
      </w:r>
      <w:r w:rsidR="0025697E">
        <w:t xml:space="preserve">of the perpetrators </w:t>
      </w:r>
      <w:r w:rsidR="00C44AF4">
        <w:t>to think that the</w:t>
      </w:r>
      <w:r w:rsidR="00D13F62">
        <w:t>ir</w:t>
      </w:r>
      <w:r w:rsidR="00C44AF4">
        <w:t xml:space="preserve"> circumstances are </w:t>
      </w:r>
      <w:r w:rsidR="00566E5E">
        <w:t>unusual enough to justify the action</w:t>
      </w:r>
      <w:r w:rsidR="00C44AF4">
        <w:t>.</w:t>
      </w:r>
      <w:r w:rsidR="00466786">
        <w:rPr>
          <w:rStyle w:val="EndnoteReference"/>
        </w:rPr>
        <w:endnoteReference w:id="34"/>
      </w:r>
      <w:r w:rsidR="00C44AF4">
        <w:t xml:space="preserve"> </w:t>
      </w:r>
      <w:r w:rsidR="00566E5E">
        <w:t xml:space="preserve">But such beliefs are hardly ever true. </w:t>
      </w:r>
      <w:proofErr w:type="gramStart"/>
      <w:r w:rsidR="00566E5E">
        <w:t>So</w:t>
      </w:r>
      <w:proofErr w:type="gramEnd"/>
      <w:r w:rsidR="00566E5E">
        <w:t xml:space="preserve"> if I find myself inclined to think </w:t>
      </w:r>
      <w:r w:rsidR="000B720F">
        <w:t>that my circumstances are exceptional enough to justify beating a suspect</w:t>
      </w:r>
      <w:r w:rsidR="00566E5E">
        <w:t xml:space="preserve">, it is likely that my judgement is </w:t>
      </w:r>
      <w:r w:rsidR="000B720F">
        <w:t>subject to the distortions that are typical in ca</w:t>
      </w:r>
      <w:r w:rsidR="00566E5E">
        <w:t xml:space="preserve">ses of police brutality. </w:t>
      </w:r>
      <w:r w:rsidR="000B720F">
        <w:t>This makes it rational</w:t>
      </w:r>
      <w:r w:rsidR="00566E5E">
        <w:t xml:space="preserve"> </w:t>
      </w:r>
      <w:r w:rsidR="00C4162C">
        <w:t>not to trust such judgements</w:t>
      </w:r>
      <w:r w:rsidR="00DE1702">
        <w:t xml:space="preserve"> when I am inclined to make them</w:t>
      </w:r>
      <w:r w:rsidR="00C4162C">
        <w:t xml:space="preserve">. </w:t>
      </w:r>
      <w:r w:rsidR="000B720F">
        <w:t>There is</w:t>
      </w:r>
      <w:r w:rsidR="00566E5E">
        <w:t xml:space="preserve"> </w:t>
      </w:r>
      <w:r w:rsidR="00C4162C">
        <w:t xml:space="preserve">a very high epistemic bar I need to get over before it could be rational to think that I </w:t>
      </w:r>
      <w:r w:rsidR="0025697E">
        <w:t xml:space="preserve">really </w:t>
      </w:r>
      <w:r w:rsidR="00C4162C">
        <w:t>am in a</w:t>
      </w:r>
      <w:r w:rsidR="0025697E">
        <w:t xml:space="preserve"> situatio</w:t>
      </w:r>
      <w:r w:rsidR="00D36D79">
        <w:t xml:space="preserve">n exceptional </w:t>
      </w:r>
      <w:r w:rsidR="0025697E">
        <w:t xml:space="preserve">enough to justify this </w:t>
      </w:r>
      <w:r w:rsidR="00D13F62">
        <w:t xml:space="preserve">kind of </w:t>
      </w:r>
      <w:r w:rsidR="0025697E">
        <w:t>action</w:t>
      </w:r>
      <w:r w:rsidR="00D36D79">
        <w:t>.</w:t>
      </w:r>
      <w:r w:rsidR="00C4162C">
        <w:t xml:space="preserve"> I </w:t>
      </w:r>
      <w:r w:rsidR="00116456">
        <w:t xml:space="preserve">have standing reasons not to trust my judgement that </w:t>
      </w:r>
      <w:r w:rsidR="00D36D79">
        <w:t>my</w:t>
      </w:r>
      <w:r w:rsidR="00116456">
        <w:t xml:space="preserve"> circumstances</w:t>
      </w:r>
      <w:r w:rsidR="004804FB">
        <w:t xml:space="preserve"> are exceptional</w:t>
      </w:r>
      <w:r w:rsidR="00116456">
        <w:t xml:space="preserve">, and not to let that enter my thinking about what to do. </w:t>
      </w:r>
      <w:r w:rsidR="00D13F62">
        <w:t xml:space="preserve">In this way, </w:t>
      </w:r>
      <w:r w:rsidR="00566E5E">
        <w:t>I am subject to an exclusionary reason of self-mistrust</w:t>
      </w:r>
      <w:r w:rsidR="000B720F">
        <w:t>:</w:t>
      </w:r>
      <w:r w:rsidR="0025697E">
        <w:t xml:space="preserve"> </w:t>
      </w:r>
      <w:r w:rsidR="00B9307A">
        <w:t>when</w:t>
      </w:r>
      <w:r w:rsidR="0025697E">
        <w:t xml:space="preserve"> there are</w:t>
      </w:r>
      <w:r w:rsidR="000B720F">
        <w:t xml:space="preserve"> reasons that favour infringing a duty</w:t>
      </w:r>
      <w:r w:rsidR="000B720F" w:rsidRPr="000B720F">
        <w:t xml:space="preserve"> </w:t>
      </w:r>
      <w:r w:rsidR="000B720F">
        <w:t>of professional integrity</w:t>
      </w:r>
      <w:r w:rsidR="0025697E">
        <w:t>, I have a reason not to allow my action to be guided by them</w:t>
      </w:r>
      <w:r w:rsidR="00566E5E">
        <w:t>.</w:t>
      </w:r>
    </w:p>
    <w:p w14:paraId="1EAD3DEB" w14:textId="0C9B0BD9" w:rsidR="000B36C8" w:rsidRDefault="000B36C8" w:rsidP="00116456">
      <w:pPr>
        <w:tabs>
          <w:tab w:val="left" w:pos="284"/>
        </w:tabs>
      </w:pPr>
    </w:p>
    <w:p w14:paraId="772D2288" w14:textId="314E2FDF" w:rsidR="00116456" w:rsidRDefault="00116456" w:rsidP="00116456">
      <w:pPr>
        <w:tabs>
          <w:tab w:val="left" w:pos="284"/>
        </w:tabs>
        <w:jc w:val="center"/>
      </w:pPr>
      <w:r>
        <w:rPr>
          <w:b/>
        </w:rPr>
        <w:t>V</w:t>
      </w:r>
      <w:r w:rsidR="00945C3A">
        <w:rPr>
          <w:b/>
        </w:rPr>
        <w:t>II</w:t>
      </w:r>
      <w:r>
        <w:rPr>
          <w:b/>
        </w:rPr>
        <w:t xml:space="preserve">I: </w:t>
      </w:r>
      <w:r w:rsidR="004301AC">
        <w:rPr>
          <w:b/>
        </w:rPr>
        <w:t>Five</w:t>
      </w:r>
      <w:r>
        <w:rPr>
          <w:b/>
        </w:rPr>
        <w:t xml:space="preserve"> Deliberative </w:t>
      </w:r>
      <w:r w:rsidR="004301AC">
        <w:rPr>
          <w:b/>
        </w:rPr>
        <w:t>Restrictions</w:t>
      </w:r>
    </w:p>
    <w:p w14:paraId="1992A429" w14:textId="77777777" w:rsidR="00116456" w:rsidRDefault="00116456" w:rsidP="00116456">
      <w:pPr>
        <w:tabs>
          <w:tab w:val="left" w:pos="284"/>
        </w:tabs>
      </w:pPr>
    </w:p>
    <w:p w14:paraId="461BC8D5" w14:textId="5144CFB0" w:rsidR="002370C7" w:rsidRPr="002370C7" w:rsidRDefault="004301AC" w:rsidP="002370C7">
      <w:r w:rsidRPr="004301AC">
        <w:t xml:space="preserve">We have </w:t>
      </w:r>
      <w:r w:rsidR="00462D82">
        <w:t>arrived at a list of</w:t>
      </w:r>
      <w:r w:rsidRPr="004301AC">
        <w:t xml:space="preserve"> </w:t>
      </w:r>
      <w:r>
        <w:t>five different</w:t>
      </w:r>
      <w:r w:rsidRPr="004301AC">
        <w:t xml:space="preserve"> ways in which professional life can impose special </w:t>
      </w:r>
      <w:r w:rsidR="002370C7">
        <w:t>restrictions</w:t>
      </w:r>
      <w:r w:rsidRPr="004301AC">
        <w:t xml:space="preserve"> on </w:t>
      </w:r>
      <w:r w:rsidR="002370C7">
        <w:t>your</w:t>
      </w:r>
      <w:r w:rsidR="002370C7" w:rsidRPr="002370C7">
        <w:t xml:space="preserve"> </w:t>
      </w:r>
      <w:r w:rsidRPr="004301AC">
        <w:t>deliberation</w:t>
      </w:r>
      <w:r w:rsidR="002370C7" w:rsidRPr="002370C7">
        <w:t>.</w:t>
      </w:r>
      <w:r w:rsidR="002370C7">
        <w:t xml:space="preserve"> First, complying with your reasons for action can require </w:t>
      </w:r>
      <w:r w:rsidR="0025203F">
        <w:t>disregarding</w:t>
      </w:r>
      <w:r w:rsidR="002370C7">
        <w:t xml:space="preserve"> some of them. This can be necessary</w:t>
      </w:r>
      <w:r w:rsidR="002370C7" w:rsidRPr="002370C7">
        <w:t xml:space="preserve"> for accurate physical performance, swift decision-making, correcting for bias, accurate mental performance</w:t>
      </w:r>
      <w:r w:rsidR="002370C7">
        <w:t>, or</w:t>
      </w:r>
      <w:r w:rsidR="002370C7" w:rsidRPr="002370C7">
        <w:t xml:space="preserve"> avoid</w:t>
      </w:r>
      <w:r w:rsidR="002370C7">
        <w:t>ing</w:t>
      </w:r>
      <w:r w:rsidR="002370C7" w:rsidRPr="002370C7">
        <w:t xml:space="preserve"> burnout</w:t>
      </w:r>
      <w:r w:rsidR="002370C7">
        <w:t xml:space="preserve">. Secondly, the agency you exercise in professional action may impose a restriction on the considerations that qualify as reasons, through context-undermining. </w:t>
      </w:r>
      <w:r w:rsidR="002370C7" w:rsidRPr="002370C7">
        <w:t xml:space="preserve">Some considerations that are reasons for actions that </w:t>
      </w:r>
      <w:r w:rsidR="002370C7">
        <w:t>you</w:t>
      </w:r>
      <w:r w:rsidR="002370C7" w:rsidRPr="002370C7">
        <w:t xml:space="preserve"> perform in a personal capacity are not reasons for the actions performed </w:t>
      </w:r>
      <w:r w:rsidR="002370C7">
        <w:t>as the occupant</w:t>
      </w:r>
      <w:r w:rsidR="002370C7" w:rsidRPr="002370C7">
        <w:t xml:space="preserve"> of a professional role. Since they are not reasons at all, they should not feature in </w:t>
      </w:r>
      <w:r w:rsidR="002370C7">
        <w:t>your</w:t>
      </w:r>
      <w:r w:rsidR="002370C7" w:rsidRPr="002370C7">
        <w:t xml:space="preserve"> deliberation about what to do.</w:t>
      </w:r>
      <w:r w:rsidR="002370C7" w:rsidRPr="002370C7">
        <w:rPr>
          <w:vertAlign w:val="superscript"/>
        </w:rPr>
        <w:endnoteReference w:id="35"/>
      </w:r>
      <w:r w:rsidR="002370C7" w:rsidRPr="002370C7">
        <w:t xml:space="preserve"> </w:t>
      </w:r>
      <w:r w:rsidR="002370C7">
        <w:t>Thirdly, professional deliberation may be restricted by</w:t>
      </w:r>
      <w:r w:rsidR="002370C7" w:rsidRPr="002370C7">
        <w:t xml:space="preserve"> exclusionary reasons of authority, either through relationships of subordination </w:t>
      </w:r>
      <w:r w:rsidR="002370C7" w:rsidRPr="002370C7">
        <w:lastRenderedPageBreak/>
        <w:t xml:space="preserve">within a decisional hierarchy, or through relationships of equality </w:t>
      </w:r>
      <w:r w:rsidR="007447A3">
        <w:t>to other co-</w:t>
      </w:r>
      <w:r w:rsidR="002370C7" w:rsidRPr="002370C7">
        <w:t>participants in collective decision-making.</w:t>
      </w:r>
      <w:r w:rsidR="002370C7">
        <w:t xml:space="preserve"> Fourthly, it may be restricted by</w:t>
      </w:r>
      <w:r w:rsidR="002370C7" w:rsidRPr="002370C7">
        <w:t xml:space="preserve"> exclusionary reasons of </w:t>
      </w:r>
      <w:r w:rsidR="002370C7">
        <w:t>task-based</w:t>
      </w:r>
      <w:r w:rsidR="002370C7" w:rsidRPr="002370C7">
        <w:t xml:space="preserve"> commitment, when in presenting yourself as the occupant of a professional role you implicitly undertake to be guided solely by </w:t>
      </w:r>
      <w:r w:rsidR="002370C7">
        <w:t>some professional</w:t>
      </w:r>
      <w:r w:rsidR="002370C7" w:rsidRPr="002370C7">
        <w:t xml:space="preserve"> reasons</w:t>
      </w:r>
      <w:r w:rsidR="002370C7">
        <w:t xml:space="preserve"> and not others</w:t>
      </w:r>
      <w:r w:rsidR="002370C7" w:rsidRPr="002370C7">
        <w:t xml:space="preserve">. And </w:t>
      </w:r>
      <w:r w:rsidR="002370C7">
        <w:t>fifthly</w:t>
      </w:r>
      <w:r w:rsidR="002370C7" w:rsidRPr="002370C7">
        <w:t xml:space="preserve">, it </w:t>
      </w:r>
      <w:r w:rsidR="002370C7">
        <w:t>may be restricted by</w:t>
      </w:r>
      <w:r w:rsidR="002370C7" w:rsidRPr="002370C7">
        <w:t xml:space="preserve"> exclusionary reasons of self-mistrust, when the standing reasons to be mistrustful of the impression that you have found an exception to standards of professional integrity </w:t>
      </w:r>
      <w:r w:rsidR="007447A3">
        <w:t>are reasons for you</w:t>
      </w:r>
      <w:r w:rsidR="002370C7" w:rsidRPr="002370C7">
        <w:t xml:space="preserve"> not to be guided by </w:t>
      </w:r>
      <w:r w:rsidR="00965B80">
        <w:t>the exception-supporting facts</w:t>
      </w:r>
      <w:r w:rsidR="002370C7" w:rsidRPr="002370C7">
        <w:t>.</w:t>
      </w:r>
    </w:p>
    <w:p w14:paraId="3E6F89F6" w14:textId="39CDF262" w:rsidR="00362EA0" w:rsidRPr="00362EA0" w:rsidRDefault="000E405D" w:rsidP="00652D8E">
      <w:pPr>
        <w:tabs>
          <w:tab w:val="left" w:pos="284"/>
        </w:tabs>
      </w:pPr>
      <w:r>
        <w:tab/>
      </w:r>
      <w:r w:rsidR="002370C7">
        <w:t>This discussion</w:t>
      </w:r>
      <w:r>
        <w:t xml:space="preserve"> has </w:t>
      </w:r>
      <w:r w:rsidR="00DE1702">
        <w:t>sought</w:t>
      </w:r>
      <w:r>
        <w:t xml:space="preserve"> to draw attention to the differences between the sources of these </w:t>
      </w:r>
      <w:r w:rsidR="002370C7">
        <w:t>various</w:t>
      </w:r>
      <w:r>
        <w:t xml:space="preserve"> deliberative constraints, and to notice the different impact</w:t>
      </w:r>
      <w:r w:rsidR="007447A3">
        <w:t xml:space="preserve"> they have on deliberation in </w:t>
      </w:r>
      <w:r>
        <w:t xml:space="preserve">professional </w:t>
      </w:r>
      <w:r w:rsidR="007447A3">
        <w:t>life</w:t>
      </w:r>
      <w:r>
        <w:t xml:space="preserve">. </w:t>
      </w:r>
      <w:r w:rsidR="002370C7">
        <w:t xml:space="preserve">The first emphasizes the importance of attentional training as a means to competent professional performance. </w:t>
      </w:r>
      <w:r>
        <w:t xml:space="preserve">The </w:t>
      </w:r>
      <w:r w:rsidR="002370C7">
        <w:t>second</w:t>
      </w:r>
      <w:r>
        <w:t xml:space="preserve"> sets constraints on what can count as a reason </w:t>
      </w:r>
      <w:r w:rsidR="002370C7">
        <w:t xml:space="preserve">for professional action </w:t>
      </w:r>
      <w:r>
        <w:t>at all</w:t>
      </w:r>
      <w:r w:rsidR="002370C7">
        <w:t xml:space="preserve"> – what could qualify for inclusion in even the most </w:t>
      </w:r>
      <w:r w:rsidR="007447A3">
        <w:t>well-informed</w:t>
      </w:r>
      <w:r w:rsidR="002370C7">
        <w:t xml:space="preserve"> </w:t>
      </w:r>
      <w:r w:rsidR="00F55725">
        <w:t>advisor’s</w:t>
      </w:r>
      <w:r w:rsidR="002370C7">
        <w:t xml:space="preserve"> account of the considerations that count for and against professional action</w:t>
      </w:r>
      <w:r>
        <w:t xml:space="preserve">. The </w:t>
      </w:r>
      <w:r w:rsidR="002370C7">
        <w:t>third and fourth</w:t>
      </w:r>
      <w:r>
        <w:t xml:space="preserve"> </w:t>
      </w:r>
      <w:r w:rsidR="002370C7">
        <w:t>put</w:t>
      </w:r>
      <w:r w:rsidR="00652D8E">
        <w:t xml:space="preserve"> extra </w:t>
      </w:r>
      <w:r w:rsidR="002370C7">
        <w:t xml:space="preserve">authority- or </w:t>
      </w:r>
      <w:r w:rsidR="004804FB">
        <w:t xml:space="preserve">commitment-based </w:t>
      </w:r>
      <w:r w:rsidR="00652D8E">
        <w:t>reason</w:t>
      </w:r>
      <w:r w:rsidR="002370C7">
        <w:t xml:space="preserve">s into the balance – but not </w:t>
      </w:r>
      <w:r w:rsidR="00652D8E">
        <w:t>reason</w:t>
      </w:r>
      <w:r w:rsidR="002370C7">
        <w:t>s</w:t>
      </w:r>
      <w:r w:rsidR="00652D8E">
        <w:t xml:space="preserve"> of absolute weight. </w:t>
      </w:r>
      <w:r w:rsidR="00362EA0">
        <w:t xml:space="preserve">The </w:t>
      </w:r>
      <w:r w:rsidR="002370C7">
        <w:t>fifth</w:t>
      </w:r>
      <w:r w:rsidR="00362EA0">
        <w:t xml:space="preserve"> does </w:t>
      </w:r>
      <w:r w:rsidR="00362EA0">
        <w:rPr>
          <w:i/>
        </w:rPr>
        <w:t xml:space="preserve">not </w:t>
      </w:r>
      <w:r w:rsidR="00362EA0">
        <w:t xml:space="preserve">affect the balance of my </w:t>
      </w:r>
      <w:proofErr w:type="gramStart"/>
      <w:r w:rsidR="00362EA0">
        <w:t>reasons, but</w:t>
      </w:r>
      <w:proofErr w:type="gramEnd"/>
      <w:r w:rsidR="00362EA0">
        <w:t xml:space="preserve"> tells me </w:t>
      </w:r>
      <w:r w:rsidR="002370C7">
        <w:t>to mistrust</w:t>
      </w:r>
      <w:r w:rsidR="00362EA0">
        <w:t xml:space="preserve"> my judgement about </w:t>
      </w:r>
      <w:r w:rsidR="007447A3">
        <w:t>it</w:t>
      </w:r>
      <w:r w:rsidR="00362EA0">
        <w:t>.</w:t>
      </w:r>
      <w:r w:rsidR="00652D8E">
        <w:t xml:space="preserve"> </w:t>
      </w:r>
    </w:p>
    <w:p w14:paraId="1042C8C9" w14:textId="0DD13C25" w:rsidR="004301AC" w:rsidRDefault="00652D8E" w:rsidP="002370C7">
      <w:pPr>
        <w:tabs>
          <w:tab w:val="left" w:pos="284"/>
        </w:tabs>
      </w:pPr>
      <w:r>
        <w:tab/>
        <w:t xml:space="preserve">I think </w:t>
      </w:r>
      <w:r w:rsidR="002370C7">
        <w:t xml:space="preserve">these distinctions are </w:t>
      </w:r>
      <w:r w:rsidR="00116456">
        <w:t>reflected in the kind</w:t>
      </w:r>
      <w:r w:rsidR="002370C7">
        <w:t>s</w:t>
      </w:r>
      <w:r w:rsidR="00116456">
        <w:t xml:space="preserve"> of </w:t>
      </w:r>
      <w:r>
        <w:t>deliberation</w:t>
      </w:r>
      <w:r w:rsidR="00116456">
        <w:t xml:space="preserve"> that </w:t>
      </w:r>
      <w:r w:rsidR="002370C7">
        <w:t>characterize</w:t>
      </w:r>
      <w:r w:rsidR="00116456">
        <w:t xml:space="preserve"> conscientious professional practice.</w:t>
      </w:r>
      <w:r>
        <w:t xml:space="preserve"> Stepping into a professional role </w:t>
      </w:r>
      <w:r w:rsidR="002370C7">
        <w:t xml:space="preserve">commits you to attentional self-discipline in your practical thought; it </w:t>
      </w:r>
      <w:r>
        <w:t>removes some facts from the set of reasons that bear on your actions; it adds others; and it moderates the level of confidence you can properly claim in your judgements about what the reasons are.</w:t>
      </w:r>
      <w:r w:rsidR="002370C7">
        <w:t xml:space="preserve"> A reflective professional in any field confronts four different questions. What are the reasons that bear on my action in a professional capacity? </w:t>
      </w:r>
      <w:r w:rsidR="004301AC" w:rsidRPr="004301AC">
        <w:t>How should I train my thinking in order to respond to these reasons competently?</w:t>
      </w:r>
      <w:r w:rsidR="002370C7">
        <w:t xml:space="preserve"> </w:t>
      </w:r>
      <w:r w:rsidR="004301AC" w:rsidRPr="004301AC">
        <w:t xml:space="preserve">What commitments should I take on within my professional role, what </w:t>
      </w:r>
      <w:r w:rsidR="004301AC" w:rsidRPr="004301AC">
        <w:lastRenderedPageBreak/>
        <w:t xml:space="preserve">commitments have I </w:t>
      </w:r>
      <w:r w:rsidR="002370C7">
        <w:t xml:space="preserve">in fact </w:t>
      </w:r>
      <w:r w:rsidR="004301AC" w:rsidRPr="004301AC">
        <w:t>taken on, and how can I best satisfy them all?</w:t>
      </w:r>
      <w:r w:rsidR="002370C7">
        <w:t xml:space="preserve"> And, when</w:t>
      </w:r>
      <w:r w:rsidR="004301AC" w:rsidRPr="004301AC">
        <w:t xml:space="preserve"> it appears to me that there are reasons to act unprofessionally, should I trust the appearances?</w:t>
      </w:r>
      <w:r w:rsidR="00D96821">
        <w:rPr>
          <w:rStyle w:val="EndnoteReference"/>
        </w:rPr>
        <w:endnoteReference w:id="36"/>
      </w:r>
    </w:p>
    <w:p w14:paraId="2DE8B037" w14:textId="146099DF" w:rsidR="00EF1228" w:rsidRDefault="00EF1228" w:rsidP="002370C7">
      <w:pPr>
        <w:tabs>
          <w:tab w:val="left" w:pos="284"/>
        </w:tabs>
      </w:pPr>
    </w:p>
    <w:p w14:paraId="42087BE6" w14:textId="18277EA1" w:rsidR="00F34A98" w:rsidRPr="000644DA" w:rsidRDefault="00F73D31" w:rsidP="00EB0157">
      <w:r>
        <w:rPr>
          <w:b/>
        </w:rPr>
        <w:br w:type="page"/>
      </w:r>
      <w:r w:rsidR="00F34A98" w:rsidRPr="00F34A98">
        <w:rPr>
          <w:b/>
        </w:rPr>
        <w:lastRenderedPageBreak/>
        <w:t>References</w:t>
      </w:r>
    </w:p>
    <w:p w14:paraId="6130BC2F" w14:textId="77777777" w:rsidR="00772059" w:rsidRPr="00772059" w:rsidRDefault="00F34A98" w:rsidP="00772059">
      <w:pPr>
        <w:pStyle w:val="EndNoteBibliography"/>
      </w:pPr>
      <w:r>
        <w:fldChar w:fldCharType="begin"/>
      </w:r>
      <w:r>
        <w:instrText xml:space="preserve"> ADDIN EN.REFLIST </w:instrText>
      </w:r>
      <w:r>
        <w:fldChar w:fldCharType="separate"/>
      </w:r>
    </w:p>
    <w:p w14:paraId="77538482" w14:textId="77777777" w:rsidR="00772059" w:rsidRPr="00772059" w:rsidRDefault="00772059" w:rsidP="00772059">
      <w:pPr>
        <w:pStyle w:val="EndNoteBibliography"/>
        <w:ind w:left="720" w:hanging="720"/>
      </w:pPr>
      <w:r w:rsidRPr="00772059">
        <w:t xml:space="preserve">Alexander, Larry. "Law and Exclusionary Reasons." </w:t>
      </w:r>
      <w:r w:rsidRPr="00772059">
        <w:rPr>
          <w:i/>
        </w:rPr>
        <w:t xml:space="preserve">Philosophical Topics </w:t>
      </w:r>
      <w:r w:rsidRPr="00772059">
        <w:t>18 (1990): 5-22.</w:t>
      </w:r>
    </w:p>
    <w:p w14:paraId="1B1ED8B6" w14:textId="77777777" w:rsidR="00772059" w:rsidRPr="00772059" w:rsidRDefault="00772059" w:rsidP="00772059">
      <w:pPr>
        <w:pStyle w:val="EndNoteBibliography"/>
      </w:pPr>
    </w:p>
    <w:p w14:paraId="21993705" w14:textId="77777777" w:rsidR="00772059" w:rsidRPr="00772059" w:rsidRDefault="00772059" w:rsidP="00772059">
      <w:pPr>
        <w:pStyle w:val="EndNoteBibliography"/>
        <w:ind w:left="720" w:hanging="720"/>
      </w:pPr>
      <w:r w:rsidRPr="00772059">
        <w:t xml:space="preserve">Anderson, Elizabeth. </w:t>
      </w:r>
      <w:r w:rsidRPr="00772059">
        <w:rPr>
          <w:i/>
        </w:rPr>
        <w:t>Value in Ethics and Economics</w:t>
      </w:r>
      <w:r w:rsidRPr="00772059">
        <w:t>. Cambridge, Mass.: Harvard University Press, 1993.</w:t>
      </w:r>
    </w:p>
    <w:p w14:paraId="799A3AE2" w14:textId="77777777" w:rsidR="00772059" w:rsidRPr="00772059" w:rsidRDefault="00772059" w:rsidP="00772059">
      <w:pPr>
        <w:pStyle w:val="EndNoteBibliography"/>
      </w:pPr>
    </w:p>
    <w:p w14:paraId="2205B198" w14:textId="77777777" w:rsidR="00772059" w:rsidRPr="00772059" w:rsidRDefault="00772059" w:rsidP="00772059">
      <w:pPr>
        <w:pStyle w:val="EndNoteBibliography"/>
        <w:ind w:left="720" w:hanging="720"/>
      </w:pPr>
      <w:r w:rsidRPr="00772059">
        <w:t xml:space="preserve">Bernabe, Rosemarie D.L.C., Ghislaine J.M.W. van Thiel, Jan A.M. Raaijmakers, and Johannes J.M. van Delden. "The Fiduciary Obligation of the Physician-Researcher in Phase Iv Trials." </w:t>
      </w:r>
      <w:r w:rsidRPr="00772059">
        <w:rPr>
          <w:i/>
        </w:rPr>
        <w:t xml:space="preserve">BMC Medical Ethics </w:t>
      </w:r>
      <w:r w:rsidRPr="00772059">
        <w:t>15: 11 (2014).</w:t>
      </w:r>
    </w:p>
    <w:p w14:paraId="3942502D" w14:textId="77777777" w:rsidR="00772059" w:rsidRPr="00772059" w:rsidRDefault="00772059" w:rsidP="00772059">
      <w:pPr>
        <w:pStyle w:val="EndNoteBibliography"/>
      </w:pPr>
    </w:p>
    <w:p w14:paraId="5ADDCE1D" w14:textId="77777777" w:rsidR="00772059" w:rsidRPr="00772059" w:rsidRDefault="00772059" w:rsidP="00772059">
      <w:pPr>
        <w:pStyle w:val="EndNoteBibliography"/>
        <w:ind w:left="720" w:hanging="720"/>
      </w:pPr>
      <w:r w:rsidRPr="00772059">
        <w:t xml:space="preserve">Brady, Michael S. </w:t>
      </w:r>
      <w:r w:rsidRPr="00772059">
        <w:rPr>
          <w:i/>
        </w:rPr>
        <w:t>Emotional Insight: The Epistemic Role of Emotional Experience</w:t>
      </w:r>
      <w:r w:rsidRPr="00772059">
        <w:t>. Oxford: Oxford University Press, 2013.</w:t>
      </w:r>
    </w:p>
    <w:p w14:paraId="4A61CCC5" w14:textId="77777777" w:rsidR="00772059" w:rsidRPr="00772059" w:rsidRDefault="00772059" w:rsidP="00772059">
      <w:pPr>
        <w:pStyle w:val="EndNoteBibliography"/>
      </w:pPr>
    </w:p>
    <w:p w14:paraId="11539E37" w14:textId="77777777" w:rsidR="00772059" w:rsidRPr="00772059" w:rsidRDefault="00772059" w:rsidP="00772059">
      <w:pPr>
        <w:pStyle w:val="EndNoteBibliography"/>
        <w:ind w:left="720" w:hanging="720"/>
      </w:pPr>
      <w:r w:rsidRPr="00772059">
        <w:t xml:space="preserve">Caldero, Michael A., Jeffrey D. Dailey, and Brian L. Withrow. </w:t>
      </w:r>
      <w:r w:rsidRPr="00772059">
        <w:rPr>
          <w:i/>
        </w:rPr>
        <w:t>Police Ethics: The Corruption of Noble Cause</w:t>
      </w:r>
      <w:r w:rsidRPr="00772059">
        <w:t>. 4th ed. New York: Routledge, 2018.</w:t>
      </w:r>
    </w:p>
    <w:p w14:paraId="484B1877" w14:textId="77777777" w:rsidR="00772059" w:rsidRPr="00772059" w:rsidRDefault="00772059" w:rsidP="00772059">
      <w:pPr>
        <w:pStyle w:val="EndNoteBibliography"/>
      </w:pPr>
    </w:p>
    <w:p w14:paraId="1FABE5E7" w14:textId="77777777" w:rsidR="00772059" w:rsidRPr="00772059" w:rsidRDefault="00772059" w:rsidP="00772059">
      <w:pPr>
        <w:pStyle w:val="EndNoteBibliography"/>
        <w:ind w:left="720" w:hanging="720"/>
      </w:pPr>
      <w:r w:rsidRPr="00772059">
        <w:t xml:space="preserve">Clarke, D.S., Jr. "Exclusionary Reasons." </w:t>
      </w:r>
      <w:r w:rsidRPr="00772059">
        <w:rPr>
          <w:i/>
        </w:rPr>
        <w:t xml:space="preserve">Mind </w:t>
      </w:r>
      <w:r w:rsidRPr="00772059">
        <w:t>86 (1977): 252-5.</w:t>
      </w:r>
    </w:p>
    <w:p w14:paraId="23CFDD8E" w14:textId="77777777" w:rsidR="00772059" w:rsidRPr="00772059" w:rsidRDefault="00772059" w:rsidP="00772059">
      <w:pPr>
        <w:pStyle w:val="EndNoteBibliography"/>
      </w:pPr>
    </w:p>
    <w:p w14:paraId="44D1C446" w14:textId="77777777" w:rsidR="00772059" w:rsidRPr="00772059" w:rsidRDefault="00772059" w:rsidP="00772059">
      <w:pPr>
        <w:pStyle w:val="EndNoteBibliography"/>
        <w:ind w:left="720" w:hanging="720"/>
      </w:pPr>
      <w:r w:rsidRPr="00772059">
        <w:t xml:space="preserve">Cullity, Garrett. </w:t>
      </w:r>
      <w:r w:rsidRPr="00772059">
        <w:rPr>
          <w:i/>
        </w:rPr>
        <w:t>Concern, Respect and Cooperation</w:t>
      </w:r>
      <w:r w:rsidRPr="00772059">
        <w:t>. Oxford: Oxford University Press, 2018.</w:t>
      </w:r>
    </w:p>
    <w:p w14:paraId="0CEB1BD8" w14:textId="77777777" w:rsidR="00772059" w:rsidRPr="00772059" w:rsidRDefault="00772059" w:rsidP="00772059">
      <w:pPr>
        <w:pStyle w:val="EndNoteBibliography"/>
      </w:pPr>
    </w:p>
    <w:p w14:paraId="0838AE9B" w14:textId="77777777" w:rsidR="00772059" w:rsidRPr="00772059" w:rsidRDefault="00772059" w:rsidP="00772059">
      <w:pPr>
        <w:pStyle w:val="EndNoteBibliography"/>
        <w:ind w:left="720" w:hanging="720"/>
      </w:pPr>
      <w:r w:rsidRPr="00772059">
        <w:t xml:space="preserve">---. "The Context-Undermining of Practical Reasons." </w:t>
      </w:r>
      <w:r w:rsidRPr="00772059">
        <w:rPr>
          <w:i/>
        </w:rPr>
        <w:t xml:space="preserve">Ethics </w:t>
      </w:r>
      <w:r w:rsidRPr="00772059">
        <w:t>124 (2013): 1-27.</w:t>
      </w:r>
    </w:p>
    <w:p w14:paraId="6C709B46" w14:textId="77777777" w:rsidR="00772059" w:rsidRPr="00772059" w:rsidRDefault="00772059" w:rsidP="00772059">
      <w:pPr>
        <w:pStyle w:val="EndNoteBibliography"/>
      </w:pPr>
    </w:p>
    <w:p w14:paraId="3144B42D" w14:textId="77777777" w:rsidR="00772059" w:rsidRPr="00772059" w:rsidRDefault="00772059" w:rsidP="00772059">
      <w:pPr>
        <w:pStyle w:val="EndNoteBibliography"/>
        <w:ind w:left="720" w:hanging="720"/>
      </w:pPr>
      <w:r w:rsidRPr="00772059">
        <w:t xml:space="preserve">---. "Stupid Goodness." </w:t>
      </w:r>
      <w:r w:rsidRPr="00772059">
        <w:rPr>
          <w:i/>
        </w:rPr>
        <w:t>The Many Moral Rationalisms</w:t>
      </w:r>
      <w:r w:rsidRPr="00772059">
        <w:t>. Ed. Francois Schroeter. Oxford: Oxford University Press, 2018.</w:t>
      </w:r>
    </w:p>
    <w:p w14:paraId="0A4A7522" w14:textId="77777777" w:rsidR="00772059" w:rsidRPr="00772059" w:rsidRDefault="00772059" w:rsidP="00772059">
      <w:pPr>
        <w:pStyle w:val="EndNoteBibliography"/>
      </w:pPr>
    </w:p>
    <w:p w14:paraId="6FE38CEC" w14:textId="77777777" w:rsidR="00772059" w:rsidRPr="00772059" w:rsidRDefault="00772059" w:rsidP="00772059">
      <w:pPr>
        <w:pStyle w:val="EndNoteBibliography"/>
        <w:ind w:left="720" w:hanging="720"/>
      </w:pPr>
      <w:r w:rsidRPr="00772059">
        <w:t xml:space="preserve">---. "Weighing Reasons." </w:t>
      </w:r>
      <w:r w:rsidRPr="00772059">
        <w:rPr>
          <w:i/>
        </w:rPr>
        <w:t>The Oxford Handbook of Reasons and Normativity</w:t>
      </w:r>
      <w:r w:rsidRPr="00772059">
        <w:t>. Ed. Daniel Star2018.</w:t>
      </w:r>
    </w:p>
    <w:p w14:paraId="7367D705" w14:textId="77777777" w:rsidR="00772059" w:rsidRPr="00772059" w:rsidRDefault="00772059" w:rsidP="00772059">
      <w:pPr>
        <w:pStyle w:val="EndNoteBibliography"/>
      </w:pPr>
    </w:p>
    <w:p w14:paraId="28DD7FD8" w14:textId="77777777" w:rsidR="00772059" w:rsidRPr="00772059" w:rsidRDefault="00772059" w:rsidP="00772059">
      <w:pPr>
        <w:pStyle w:val="EndNoteBibliography"/>
        <w:ind w:left="720" w:hanging="720"/>
      </w:pPr>
      <w:r w:rsidRPr="00772059">
        <w:t xml:space="preserve">de Sousa, Ronald. </w:t>
      </w:r>
      <w:r w:rsidRPr="00772059">
        <w:rPr>
          <w:i/>
        </w:rPr>
        <w:t>The Rationality of Emotion</w:t>
      </w:r>
      <w:r w:rsidRPr="00772059">
        <w:t>. Cambridge, MA: MIT Press, 1987.</w:t>
      </w:r>
    </w:p>
    <w:p w14:paraId="0B5CDB96" w14:textId="77777777" w:rsidR="00772059" w:rsidRPr="00772059" w:rsidRDefault="00772059" w:rsidP="00772059">
      <w:pPr>
        <w:pStyle w:val="EndNoteBibliography"/>
      </w:pPr>
    </w:p>
    <w:p w14:paraId="2BAE13E0" w14:textId="77777777" w:rsidR="00772059" w:rsidRPr="00772059" w:rsidRDefault="00772059" w:rsidP="00772059">
      <w:pPr>
        <w:pStyle w:val="EndNoteBibliography"/>
        <w:ind w:left="720" w:hanging="720"/>
      </w:pPr>
      <w:r w:rsidRPr="00772059">
        <w:t xml:space="preserve">Fridland, Ellen. "They’ve Lost Control: Reflections on Skill." </w:t>
      </w:r>
      <w:r w:rsidRPr="00772059">
        <w:rPr>
          <w:i/>
        </w:rPr>
        <w:t xml:space="preserve">Synthese </w:t>
      </w:r>
      <w:r w:rsidRPr="00772059">
        <w:t>191 (2014): 2729–50.</w:t>
      </w:r>
    </w:p>
    <w:p w14:paraId="5BB2F7B6" w14:textId="77777777" w:rsidR="00772059" w:rsidRPr="00772059" w:rsidRDefault="00772059" w:rsidP="00772059">
      <w:pPr>
        <w:pStyle w:val="EndNoteBibliography"/>
      </w:pPr>
    </w:p>
    <w:p w14:paraId="586881B7" w14:textId="77777777" w:rsidR="00772059" w:rsidRPr="00772059" w:rsidRDefault="00772059" w:rsidP="00772059">
      <w:pPr>
        <w:pStyle w:val="EndNoteBibliography"/>
        <w:ind w:left="720" w:hanging="720"/>
      </w:pPr>
      <w:r w:rsidRPr="00772059">
        <w:t xml:space="preserve">Gross, James J. "Emotion Regulation: Current Status and Future Prospects." </w:t>
      </w:r>
      <w:r w:rsidRPr="00772059">
        <w:rPr>
          <w:i/>
        </w:rPr>
        <w:t xml:space="preserve">Psychological Inquiry </w:t>
      </w:r>
      <w:r w:rsidRPr="00772059">
        <w:t>26 (2015): 1-26.</w:t>
      </w:r>
    </w:p>
    <w:p w14:paraId="44E44164" w14:textId="77777777" w:rsidR="00772059" w:rsidRPr="00772059" w:rsidRDefault="00772059" w:rsidP="00772059">
      <w:pPr>
        <w:pStyle w:val="EndNoteBibliography"/>
      </w:pPr>
    </w:p>
    <w:p w14:paraId="2F0E56F8" w14:textId="77777777" w:rsidR="00772059" w:rsidRPr="00772059" w:rsidRDefault="00772059" w:rsidP="00772059">
      <w:pPr>
        <w:pStyle w:val="EndNoteBibliography"/>
        <w:ind w:left="720" w:hanging="720"/>
      </w:pPr>
      <w:r w:rsidRPr="00772059">
        <w:t xml:space="preserve">Kahneman, Daniel. </w:t>
      </w:r>
      <w:r w:rsidRPr="00772059">
        <w:rPr>
          <w:i/>
        </w:rPr>
        <w:t>Thinking, Fast and Slow</w:t>
      </w:r>
      <w:r w:rsidRPr="00772059">
        <w:t>. London: Penguin, 2011.</w:t>
      </w:r>
    </w:p>
    <w:p w14:paraId="17C45F92" w14:textId="77777777" w:rsidR="00772059" w:rsidRPr="00772059" w:rsidRDefault="00772059" w:rsidP="00772059">
      <w:pPr>
        <w:pStyle w:val="EndNoteBibliography"/>
      </w:pPr>
    </w:p>
    <w:p w14:paraId="70BBA84E" w14:textId="77777777" w:rsidR="00772059" w:rsidRPr="00772059" w:rsidRDefault="00772059" w:rsidP="00772059">
      <w:pPr>
        <w:pStyle w:val="EndNoteBibliography"/>
        <w:ind w:left="720" w:hanging="720"/>
      </w:pPr>
      <w:r w:rsidRPr="00772059">
        <w:t xml:space="preserve">Kamm, F.M. "Rights." </w:t>
      </w:r>
      <w:r w:rsidRPr="00772059">
        <w:rPr>
          <w:i/>
        </w:rPr>
        <w:t>The Oxford Handbook of Jurisprudence and Philosophy of Law</w:t>
      </w:r>
      <w:r w:rsidRPr="00772059">
        <w:t>. Eds. Jules  Coleman and Scott  Shapiro. Oxford: Oxford University Press, 2002. 477-513.</w:t>
      </w:r>
    </w:p>
    <w:p w14:paraId="02AF826F" w14:textId="77777777" w:rsidR="00772059" w:rsidRPr="00772059" w:rsidRDefault="00772059" w:rsidP="00772059">
      <w:pPr>
        <w:pStyle w:val="EndNoteBibliography"/>
      </w:pPr>
    </w:p>
    <w:p w14:paraId="7C8619A7" w14:textId="77777777" w:rsidR="00772059" w:rsidRPr="00772059" w:rsidRDefault="00772059" w:rsidP="00772059">
      <w:pPr>
        <w:pStyle w:val="EndNoteBibliography"/>
        <w:ind w:left="720" w:hanging="720"/>
      </w:pPr>
      <w:r w:rsidRPr="00772059">
        <w:t xml:space="preserve">Kant, Immanuel. </w:t>
      </w:r>
      <w:r w:rsidRPr="00772059">
        <w:rPr>
          <w:i/>
        </w:rPr>
        <w:t>Critique of Practical Reason</w:t>
      </w:r>
      <w:r w:rsidRPr="00772059">
        <w:t>. (1788). Trans. Mary Gregor. Cambridge: Cambridge University Press, 1996.</w:t>
      </w:r>
    </w:p>
    <w:p w14:paraId="07D52074" w14:textId="77777777" w:rsidR="00772059" w:rsidRPr="00772059" w:rsidRDefault="00772059" w:rsidP="00772059">
      <w:pPr>
        <w:pStyle w:val="EndNoteBibliography"/>
      </w:pPr>
    </w:p>
    <w:p w14:paraId="69CA7DEB" w14:textId="77777777" w:rsidR="00772059" w:rsidRPr="00772059" w:rsidRDefault="00772059" w:rsidP="00772059">
      <w:pPr>
        <w:pStyle w:val="EndNoteBibliography"/>
        <w:ind w:left="720" w:hanging="720"/>
      </w:pPr>
      <w:r w:rsidRPr="00772059">
        <w:t xml:space="preserve">Klein, Gary. </w:t>
      </w:r>
      <w:r w:rsidRPr="00772059">
        <w:rPr>
          <w:i/>
        </w:rPr>
        <w:t>Sources of Power: How People Make Decisions</w:t>
      </w:r>
      <w:r w:rsidRPr="00772059">
        <w:t>. Cambridge, Mass.: MIT Press, 1998.</w:t>
      </w:r>
    </w:p>
    <w:p w14:paraId="721F1B37" w14:textId="77777777" w:rsidR="00772059" w:rsidRPr="00772059" w:rsidRDefault="00772059" w:rsidP="00772059">
      <w:pPr>
        <w:pStyle w:val="EndNoteBibliography"/>
      </w:pPr>
    </w:p>
    <w:p w14:paraId="0154522B" w14:textId="77777777" w:rsidR="00772059" w:rsidRPr="00772059" w:rsidRDefault="00772059" w:rsidP="00772059">
      <w:pPr>
        <w:pStyle w:val="EndNoteBibliography"/>
        <w:ind w:left="720" w:hanging="720"/>
      </w:pPr>
      <w:r w:rsidRPr="00772059">
        <w:t xml:space="preserve">Koglbauer, Ioana, K. Wolfgang Kallus, Reinhard Braunstingl, and Wolfram Boucsein. "Recovery Training in Simulator Improves Performance and Psychophysiological State of Pilots During Simulated and Real Visual Flight Rules Flight." </w:t>
      </w:r>
      <w:r w:rsidRPr="00772059">
        <w:rPr>
          <w:i/>
        </w:rPr>
        <w:t xml:space="preserve">The International Journal of Aviation Psychology </w:t>
      </w:r>
      <w:r w:rsidRPr="00772059">
        <w:t>21 (2011): 307-24.</w:t>
      </w:r>
    </w:p>
    <w:p w14:paraId="44244E07" w14:textId="77777777" w:rsidR="00772059" w:rsidRPr="00772059" w:rsidRDefault="00772059" w:rsidP="00772059">
      <w:pPr>
        <w:pStyle w:val="EndNoteBibliography"/>
      </w:pPr>
    </w:p>
    <w:p w14:paraId="5291D540" w14:textId="77777777" w:rsidR="00772059" w:rsidRPr="00772059" w:rsidRDefault="00772059" w:rsidP="00772059">
      <w:pPr>
        <w:pStyle w:val="EndNoteBibliography"/>
        <w:ind w:left="720" w:hanging="720"/>
      </w:pPr>
      <w:r w:rsidRPr="00772059">
        <w:t xml:space="preserve">McDowell, John. "The Role of Eudaimonia in Aristotle’s Ethics." </w:t>
      </w:r>
      <w:r w:rsidRPr="00772059">
        <w:rPr>
          <w:i/>
        </w:rPr>
        <w:t>Mind, Value, and Reality</w:t>
      </w:r>
      <w:r w:rsidRPr="00772059">
        <w:t>. Cambridge, Mass.: Harvard University Press, 1998. 3-22.</w:t>
      </w:r>
    </w:p>
    <w:p w14:paraId="32C12258" w14:textId="77777777" w:rsidR="00772059" w:rsidRPr="00772059" w:rsidRDefault="00772059" w:rsidP="00772059">
      <w:pPr>
        <w:pStyle w:val="EndNoteBibliography"/>
      </w:pPr>
    </w:p>
    <w:p w14:paraId="1C1FAB9E" w14:textId="77777777" w:rsidR="00772059" w:rsidRPr="00772059" w:rsidRDefault="00772059" w:rsidP="00772059">
      <w:pPr>
        <w:pStyle w:val="EndNoteBibliography"/>
        <w:ind w:left="720" w:hanging="720"/>
      </w:pPr>
      <w:r w:rsidRPr="00772059">
        <w:t xml:space="preserve">Patrick, Urey W., and John C. Hall. </w:t>
      </w:r>
      <w:r w:rsidRPr="00772059">
        <w:rPr>
          <w:i/>
        </w:rPr>
        <w:t>In Defense of Self and Others: Issues, Facts and Fallacies -- the Realities of Law Enforcement's Use of Deadly Force</w:t>
      </w:r>
      <w:r w:rsidRPr="00772059">
        <w:t>. 2nd ed. Durham, NC: Carolina Academic Press, 2010.</w:t>
      </w:r>
    </w:p>
    <w:p w14:paraId="6CC0D801" w14:textId="77777777" w:rsidR="00772059" w:rsidRPr="00772059" w:rsidRDefault="00772059" w:rsidP="00772059">
      <w:pPr>
        <w:pStyle w:val="EndNoteBibliography"/>
      </w:pPr>
    </w:p>
    <w:p w14:paraId="349533CF" w14:textId="77777777" w:rsidR="00772059" w:rsidRPr="00772059" w:rsidRDefault="00772059" w:rsidP="00772059">
      <w:pPr>
        <w:pStyle w:val="EndNoteBibliography"/>
        <w:ind w:left="720" w:hanging="720"/>
      </w:pPr>
      <w:r w:rsidRPr="00772059">
        <w:t xml:space="preserve">Raz, Joseph. </w:t>
      </w:r>
      <w:r w:rsidRPr="00772059">
        <w:rPr>
          <w:i/>
        </w:rPr>
        <w:t>Practical Reason and Norms</w:t>
      </w:r>
      <w:r w:rsidRPr="00772059">
        <w:t>. 2nd ed. Oxford: Oxford University Press, 1999.</w:t>
      </w:r>
    </w:p>
    <w:p w14:paraId="75FC0C4F" w14:textId="77777777" w:rsidR="00772059" w:rsidRPr="00772059" w:rsidRDefault="00772059" w:rsidP="00772059">
      <w:pPr>
        <w:pStyle w:val="EndNoteBibliography"/>
      </w:pPr>
    </w:p>
    <w:p w14:paraId="3314BE53" w14:textId="77777777" w:rsidR="00772059" w:rsidRPr="00772059" w:rsidRDefault="00772059" w:rsidP="00772059">
      <w:pPr>
        <w:pStyle w:val="EndNoteBibliography"/>
        <w:ind w:left="720" w:hanging="720"/>
      </w:pPr>
      <w:r w:rsidRPr="00772059">
        <w:t xml:space="preserve">Rhodes, Rosamond. "The Professional Responsibilities of Medicine." </w:t>
      </w:r>
      <w:r w:rsidRPr="00772059">
        <w:rPr>
          <w:i/>
        </w:rPr>
        <w:t>The Blackwell Guide to Medical Ethics</w:t>
      </w:r>
      <w:r w:rsidRPr="00772059">
        <w:t>. Eds. Rosamond Rhodes, Leslie P. Francis and Anita Silvers. 2nd ed. Oxford: Blackwell, 2007. 71-87.</w:t>
      </w:r>
    </w:p>
    <w:p w14:paraId="5E9739AC" w14:textId="77777777" w:rsidR="00772059" w:rsidRPr="00772059" w:rsidRDefault="00772059" w:rsidP="00772059">
      <w:pPr>
        <w:pStyle w:val="EndNoteBibliography"/>
      </w:pPr>
    </w:p>
    <w:p w14:paraId="278C41FA" w14:textId="77777777" w:rsidR="00772059" w:rsidRPr="00772059" w:rsidRDefault="00772059" w:rsidP="00772059">
      <w:pPr>
        <w:pStyle w:val="EndNoteBibliography"/>
        <w:ind w:left="720" w:hanging="720"/>
      </w:pPr>
      <w:r w:rsidRPr="00772059">
        <w:t xml:space="preserve">Schueler, G.F. "Exclusionary Reasons." </w:t>
      </w:r>
      <w:r w:rsidRPr="00772059">
        <w:rPr>
          <w:i/>
        </w:rPr>
        <w:t xml:space="preserve">The Personalist </w:t>
      </w:r>
      <w:r w:rsidRPr="00772059">
        <w:t>60 (1979): 407-10.</w:t>
      </w:r>
    </w:p>
    <w:p w14:paraId="0AB451BA" w14:textId="77777777" w:rsidR="00772059" w:rsidRPr="00772059" w:rsidRDefault="00772059" w:rsidP="00772059">
      <w:pPr>
        <w:pStyle w:val="EndNoteBibliography"/>
      </w:pPr>
    </w:p>
    <w:p w14:paraId="76D04914" w14:textId="77777777" w:rsidR="00772059" w:rsidRPr="00772059" w:rsidRDefault="00772059" w:rsidP="00772059">
      <w:pPr>
        <w:pStyle w:val="EndNoteBibliography"/>
        <w:ind w:left="720" w:hanging="720"/>
      </w:pPr>
      <w:r w:rsidRPr="00772059">
        <w:t xml:space="preserve">Seidman, Jeffrey. "Two Sides of ‘Silencing." </w:t>
      </w:r>
      <w:r w:rsidRPr="00772059">
        <w:rPr>
          <w:i/>
        </w:rPr>
        <w:t xml:space="preserve">The Philosophical Quarterly </w:t>
      </w:r>
      <w:r w:rsidRPr="00772059">
        <w:t>55 (2005): 68-77.</w:t>
      </w:r>
    </w:p>
    <w:p w14:paraId="53D55CC2" w14:textId="77777777" w:rsidR="00772059" w:rsidRPr="00772059" w:rsidRDefault="00772059" w:rsidP="00772059">
      <w:pPr>
        <w:pStyle w:val="EndNoteBibliography"/>
      </w:pPr>
    </w:p>
    <w:p w14:paraId="2BB6B2A5" w14:textId="77777777" w:rsidR="00772059" w:rsidRPr="00772059" w:rsidRDefault="00772059" w:rsidP="00772059">
      <w:pPr>
        <w:pStyle w:val="EndNoteBibliography"/>
        <w:ind w:left="720" w:hanging="720"/>
      </w:pPr>
      <w:r w:rsidRPr="00772059">
        <w:t xml:space="preserve">Todaro-Franceschi, Vidette </w:t>
      </w:r>
      <w:r w:rsidRPr="00772059">
        <w:rPr>
          <w:i/>
        </w:rPr>
        <w:t>Compassion Fatigue and Burnout in Nursing: Enhancing Professional Quality of Life</w:t>
      </w:r>
      <w:r w:rsidRPr="00772059">
        <w:t>. New York: Springer, 2013.</w:t>
      </w:r>
    </w:p>
    <w:p w14:paraId="0A209A21" w14:textId="77777777" w:rsidR="00772059" w:rsidRPr="00772059" w:rsidRDefault="00772059" w:rsidP="00772059">
      <w:pPr>
        <w:pStyle w:val="EndNoteBibliography"/>
      </w:pPr>
    </w:p>
    <w:p w14:paraId="7B8CB3AC" w14:textId="77777777" w:rsidR="00772059" w:rsidRPr="00772059" w:rsidRDefault="00772059" w:rsidP="00772059">
      <w:pPr>
        <w:pStyle w:val="EndNoteBibliography"/>
        <w:ind w:left="720" w:hanging="720"/>
      </w:pPr>
      <w:r w:rsidRPr="00772059">
        <w:t xml:space="preserve">Weirich, Paul. "Trustee Decisions in Investment and Finance." </w:t>
      </w:r>
      <w:r w:rsidRPr="00772059">
        <w:rPr>
          <w:i/>
        </w:rPr>
        <w:t xml:space="preserve">Journal of Business Ethics </w:t>
      </w:r>
      <w:r w:rsidRPr="00772059">
        <w:t>7 (1988): 73 - 80.</w:t>
      </w:r>
    </w:p>
    <w:p w14:paraId="77365939" w14:textId="1FC59FB5" w:rsidR="007E6015" w:rsidRDefault="00F34A98" w:rsidP="00D83124">
      <w:pPr>
        <w:tabs>
          <w:tab w:val="left" w:pos="284"/>
        </w:tabs>
        <w:rPr>
          <w:b/>
        </w:rPr>
      </w:pPr>
      <w:r>
        <w:rPr>
          <w:b/>
        </w:rPr>
        <w:fldChar w:fldCharType="end"/>
      </w:r>
    </w:p>
    <w:p w14:paraId="4989FA7F" w14:textId="30520389" w:rsidR="008B33D1" w:rsidRPr="008B33D1" w:rsidRDefault="008B33D1" w:rsidP="00D83124">
      <w:pPr>
        <w:tabs>
          <w:tab w:val="left" w:pos="284"/>
        </w:tabs>
        <w:rPr>
          <w:b/>
        </w:rPr>
      </w:pPr>
      <w:r>
        <w:rPr>
          <w:b/>
        </w:rPr>
        <w:lastRenderedPageBreak/>
        <w:t>Notes</w:t>
      </w:r>
    </w:p>
    <w:sectPr w:rsidR="008B33D1" w:rsidRPr="008B33D1">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6D993" w14:textId="77777777" w:rsidR="000E75B8" w:rsidRPr="007E6015" w:rsidRDefault="000E75B8" w:rsidP="007E6015">
      <w:pPr>
        <w:pStyle w:val="Footer"/>
      </w:pPr>
    </w:p>
  </w:endnote>
  <w:endnote w:type="continuationSeparator" w:id="0">
    <w:p w14:paraId="76E1F286" w14:textId="77777777" w:rsidR="000E75B8" w:rsidRPr="00F56DC5" w:rsidRDefault="000E75B8" w:rsidP="00F56DC5">
      <w:pPr>
        <w:pStyle w:val="Footer"/>
      </w:pPr>
    </w:p>
  </w:endnote>
  <w:endnote w:id="1">
    <w:p w14:paraId="5C57BA42" w14:textId="34C4B5CB" w:rsidR="005F1BD8" w:rsidRPr="00D96821" w:rsidRDefault="005F1BD8" w:rsidP="0025765E">
      <w:pPr>
        <w:pStyle w:val="EndnoteText"/>
        <w:tabs>
          <w:tab w:val="left" w:pos="1560"/>
        </w:tabs>
        <w:rPr>
          <w:sz w:val="22"/>
          <w:szCs w:val="22"/>
        </w:rPr>
      </w:pPr>
      <w:r w:rsidRPr="00D96821">
        <w:rPr>
          <w:rStyle w:val="EndnoteReference"/>
          <w:sz w:val="22"/>
          <w:szCs w:val="22"/>
        </w:rPr>
        <w:endnoteRef/>
      </w:r>
      <w:r w:rsidRPr="00D96821">
        <w:rPr>
          <w:sz w:val="22"/>
          <w:szCs w:val="22"/>
        </w:rPr>
        <w:t xml:space="preserve">  Kant can be seen as making a claim of this kind when he says: “pure practical reason does not require that one should </w:t>
      </w:r>
      <w:r w:rsidRPr="00D96821">
        <w:rPr>
          <w:i/>
          <w:sz w:val="22"/>
          <w:szCs w:val="22"/>
        </w:rPr>
        <w:t>renounce</w:t>
      </w:r>
      <w:r w:rsidRPr="00D96821">
        <w:rPr>
          <w:sz w:val="22"/>
          <w:szCs w:val="22"/>
        </w:rPr>
        <w:t xml:space="preserve"> claims to happiness but only that as soon as duty is in question one should </w:t>
      </w:r>
      <w:r w:rsidRPr="00D96821">
        <w:rPr>
          <w:i/>
          <w:sz w:val="22"/>
          <w:szCs w:val="22"/>
        </w:rPr>
        <w:t>take no account</w:t>
      </w:r>
      <w:r w:rsidRPr="00D96821">
        <w:rPr>
          <w:sz w:val="22"/>
          <w:szCs w:val="22"/>
        </w:rPr>
        <w:t xml:space="preserve"> of them.” (</w:t>
      </w:r>
      <w:r w:rsidRPr="00D96821">
        <w:rPr>
          <w:sz w:val="22"/>
          <w:szCs w:val="22"/>
        </w:rPr>
        <w:fldChar w:fldCharType="begin"/>
      </w:r>
      <w:r w:rsidRPr="00D96821">
        <w:rPr>
          <w:sz w:val="22"/>
          <w:szCs w:val="22"/>
        </w:rPr>
        <w:instrText xml:space="preserve"> ADDIN EN.CITE &lt;EndNote&gt;&lt;Cite&gt;&lt;Author&gt;Kant&lt;/Author&gt;&lt;Year&gt;1996&lt;/Year&gt;&lt;RecNum&gt;3&lt;/RecNum&gt;&lt;DisplayText&gt;Immanuel Kant, &lt;style face="italic"&gt;Critique of Practical Reason&lt;/style&gt;&lt;/DisplayText&gt;&lt;record&gt;&lt;rec-number&gt;3&lt;/rec-number&gt;&lt;foreign-keys&gt;&lt;key app="EN" db-id="9ratsrwz8wzzspewsdu502wwd2ezesewppe2" timestamp="1438152452"&gt;3&lt;/key&gt;&lt;/foreign-keys&gt;&lt;ref-type name="Book"&gt;6&lt;/ref-type&gt;&lt;contributors&gt;&lt;authors&gt;&lt;author&gt;Kant, Immanuel&lt;/author&gt;&lt;/authors&gt;&lt;subsidiary-authors&gt;&lt;author&gt;Mary Gregor&lt;/author&gt;&lt;/subsidiary-authors&gt;&lt;/contributors&gt;&lt;titles&gt;&lt;title&gt;Critique of Practical Reason&lt;/title&gt;&lt;/titles&gt;&lt;dates&gt;&lt;year&gt;1996&lt;/year&gt;&lt;/dates&gt;&lt;pub-location&gt;Cambridge&lt;/pub-location&gt;&lt;publisher&gt;Cambridge University Press&lt;/publisher&gt;&lt;orig-pub&gt;(1788)&lt;/orig-pub&gt;&lt;urls&gt;&lt;/urls&gt;&lt;/record&gt;&lt;/Cite&gt;&lt;/EndNote&gt;</w:instrText>
      </w:r>
      <w:r w:rsidRPr="00D96821">
        <w:rPr>
          <w:sz w:val="22"/>
          <w:szCs w:val="22"/>
        </w:rPr>
        <w:fldChar w:fldCharType="separate"/>
      </w:r>
      <w:r w:rsidRPr="00D96821">
        <w:rPr>
          <w:noProof/>
          <w:sz w:val="22"/>
          <w:szCs w:val="22"/>
        </w:rPr>
        <w:t xml:space="preserve">Immanuel Kant, </w:t>
      </w:r>
      <w:r w:rsidRPr="00D96821">
        <w:rPr>
          <w:i/>
          <w:noProof/>
          <w:sz w:val="22"/>
          <w:szCs w:val="22"/>
        </w:rPr>
        <w:t>Critique of Practical Reason</w:t>
      </w:r>
      <w:r w:rsidRPr="00D96821">
        <w:rPr>
          <w:sz w:val="22"/>
          <w:szCs w:val="22"/>
        </w:rPr>
        <w:fldChar w:fldCharType="end"/>
      </w:r>
      <w:r w:rsidRPr="00D96821">
        <w:rPr>
          <w:sz w:val="22"/>
          <w:szCs w:val="22"/>
        </w:rPr>
        <w:t xml:space="preserve">, 5:93; italics in original.) </w:t>
      </w:r>
    </w:p>
  </w:endnote>
  <w:endnote w:id="2">
    <w:p w14:paraId="027F9412" w14:textId="77777777" w:rsidR="005F1BD8" w:rsidRPr="00D96821" w:rsidRDefault="005F1BD8" w:rsidP="00FD752A">
      <w:pPr>
        <w:pStyle w:val="EndnoteText"/>
        <w:tabs>
          <w:tab w:val="left" w:pos="1560"/>
        </w:tabs>
        <w:rPr>
          <w:sz w:val="22"/>
          <w:szCs w:val="22"/>
        </w:rPr>
      </w:pPr>
      <w:r w:rsidRPr="00D96821">
        <w:rPr>
          <w:rStyle w:val="EndnoteReference"/>
          <w:sz w:val="22"/>
          <w:szCs w:val="22"/>
        </w:rPr>
        <w:endnoteRef/>
      </w:r>
      <w:r w:rsidRPr="00D96821">
        <w:rPr>
          <w:sz w:val="22"/>
          <w:szCs w:val="22"/>
        </w:rPr>
        <w:t xml:space="preserve">  For fuller discussions of context-undermining, see my </w:t>
      </w:r>
      <w:r w:rsidRPr="00D96821">
        <w:rPr>
          <w:sz w:val="22"/>
          <w:szCs w:val="22"/>
        </w:rPr>
        <w:fldChar w:fldCharType="begin"/>
      </w:r>
      <w:r w:rsidRPr="00D96821">
        <w:rPr>
          <w:sz w:val="22"/>
          <w:szCs w:val="22"/>
        </w:rPr>
        <w:instrText xml:space="preserve"> ADDIN EN.CITE &lt;EndNote&gt;&lt;Cite ExcludeAuth="1"&gt;&lt;Author&gt;Cullity&lt;/Author&gt;&lt;Year&gt;2013&lt;/Year&gt;&lt;RecNum&gt;198&lt;/RecNum&gt;&lt;DisplayText&gt;&amp;quot;The Context-Undermining of Practical Reasons&amp;quot;&lt;/DisplayText&gt;&lt;record&gt;&lt;rec-number&gt;198&lt;/rec-number&gt;&lt;foreign-keys&gt;&lt;key app="EN" db-id="9ratsrwz8wzzspewsdu502wwd2ezesewppe2" timestamp="1443590929"&gt;198&lt;/key&gt;&lt;/foreign-keys&gt;&lt;ref-type name="Journal Article"&gt;17&lt;/ref-type&gt;&lt;contributors&gt;&lt;authors&gt;&lt;author&gt;Cullity, Garrett&lt;/author&gt;&lt;/authors&gt;&lt;/contributors&gt;&lt;titles&gt;&lt;title&gt;The Context-Undermining of Practical Reasons&lt;/title&gt;&lt;secondary-title&gt;Ethics&lt;/secondary-title&gt;&lt;/titles&gt;&lt;periodical&gt;&lt;full-title&gt;Ethics&lt;/full-title&gt;&lt;/periodical&gt;&lt;pages&gt;1-27&lt;/pages&gt;&lt;volume&gt;124&lt;/volume&gt;&lt;dates&gt;&lt;year&gt;2013&lt;/year&gt;&lt;/dates&gt;&lt;urls&gt;&lt;/urls&gt;&lt;/record&gt;&lt;/Cite&gt;&lt;/EndNote&gt;</w:instrText>
      </w:r>
      <w:r w:rsidRPr="00D96821">
        <w:rPr>
          <w:sz w:val="22"/>
          <w:szCs w:val="22"/>
        </w:rPr>
        <w:fldChar w:fldCharType="separate"/>
      </w:r>
      <w:r w:rsidRPr="00D96821">
        <w:rPr>
          <w:noProof/>
          <w:sz w:val="22"/>
          <w:szCs w:val="22"/>
        </w:rPr>
        <w:t>"The Context-Undermining of Practical Reasons"</w:t>
      </w:r>
      <w:r w:rsidRPr="00D96821">
        <w:rPr>
          <w:sz w:val="22"/>
          <w:szCs w:val="22"/>
        </w:rPr>
        <w:fldChar w:fldCharType="end"/>
      </w:r>
      <w:r w:rsidRPr="00D96821">
        <w:rPr>
          <w:sz w:val="22"/>
          <w:szCs w:val="22"/>
        </w:rPr>
        <w:t xml:space="preserve">, and </w:t>
      </w:r>
      <w:r w:rsidRPr="00D96821">
        <w:rPr>
          <w:sz w:val="22"/>
          <w:szCs w:val="22"/>
        </w:rPr>
        <w:fldChar w:fldCharType="begin"/>
      </w:r>
      <w:r w:rsidRPr="00D96821">
        <w:rPr>
          <w:sz w:val="22"/>
          <w:szCs w:val="22"/>
        </w:rPr>
        <w:instrText xml:space="preserve"> ADDIN EN.CITE &lt;EndNote&gt;&lt;Cite ExcludeAuth="1"&gt;&lt;Author&gt;Cullity&lt;/Author&gt;&lt;Year&gt;2018&lt;/Year&gt;&lt;RecNum&gt;126&lt;/RecNum&gt;&lt;DisplayText&gt;&lt;style face="italic"&gt;Concern, Respect and Cooperation&lt;/style&gt;&lt;/DisplayText&gt;&lt;record&gt;&lt;rec-number&gt;126&lt;/rec-number&gt;&lt;foreign-keys&gt;&lt;key app="EN" db-id="a5ffrdzp85025zevt0ivvtahzzw0ea5fveps" timestamp="1467961731"&gt;126&lt;/key&gt;&lt;/foreign-keys&gt;&lt;ref-type name="Book"&gt;6&lt;/ref-type&gt;&lt;contributors&gt;&lt;authors&gt;&lt;author&gt;Cullity, Garrett&lt;/author&gt;&lt;/authors&gt;&lt;/contributors&gt;&lt;titles&gt;&lt;title&gt;Concern, Respect and Cooperation&lt;/title&gt;&lt;/titles&gt;&lt;dates&gt;&lt;year&gt;2018&lt;/year&gt;&lt;/dates&gt;&lt;pub-location&gt;Oxford&lt;/pub-location&gt;&lt;publisher&gt;Oxford University Press&lt;/publisher&gt;&lt;urls&gt;&lt;/urls&gt;&lt;/record&gt;&lt;/Cite&gt;&lt;/EndNote&gt;</w:instrText>
      </w:r>
      <w:r w:rsidRPr="00D96821">
        <w:rPr>
          <w:sz w:val="22"/>
          <w:szCs w:val="22"/>
        </w:rPr>
        <w:fldChar w:fldCharType="separate"/>
      </w:r>
      <w:r w:rsidRPr="00D96821">
        <w:rPr>
          <w:i/>
          <w:noProof/>
          <w:sz w:val="22"/>
          <w:szCs w:val="22"/>
        </w:rPr>
        <w:t>Concern, Respect and Cooperation</w:t>
      </w:r>
      <w:r w:rsidRPr="00D96821">
        <w:rPr>
          <w:sz w:val="22"/>
          <w:szCs w:val="22"/>
        </w:rPr>
        <w:fldChar w:fldCharType="end"/>
      </w:r>
      <w:r w:rsidRPr="00D96821">
        <w:rPr>
          <w:sz w:val="22"/>
          <w:szCs w:val="22"/>
        </w:rPr>
        <w:t xml:space="preserve">, Ch. 6. </w:t>
      </w:r>
    </w:p>
  </w:endnote>
  <w:endnote w:id="3">
    <w:p w14:paraId="05D92C16" w14:textId="2A89F119" w:rsidR="005F1BD8" w:rsidRPr="00D96821" w:rsidRDefault="005F1BD8" w:rsidP="0025765E">
      <w:pPr>
        <w:pStyle w:val="N"/>
        <w:spacing w:before="120" w:after="0" w:line="240" w:lineRule="auto"/>
        <w:rPr>
          <w:szCs w:val="22"/>
          <w:lang w:val="en-GB"/>
        </w:rPr>
      </w:pPr>
      <w:r w:rsidRPr="00D96821">
        <w:rPr>
          <w:rStyle w:val="EndnoteReference"/>
          <w:szCs w:val="22"/>
        </w:rPr>
        <w:endnoteRef/>
      </w:r>
      <w:r w:rsidRPr="00D96821">
        <w:rPr>
          <w:szCs w:val="22"/>
        </w:rPr>
        <w:t xml:space="preserve">  Compare John McDowell’s idea that to be in a state of full Aristotelian virtue</w:t>
      </w:r>
    </w:p>
    <w:p w14:paraId="777CFA57" w14:textId="5B674B60" w:rsidR="005F1BD8" w:rsidRPr="00D96821" w:rsidRDefault="005F1BD8" w:rsidP="0025765E">
      <w:pPr>
        <w:pStyle w:val="EXT"/>
        <w:spacing w:before="120" w:after="0" w:line="240" w:lineRule="auto"/>
        <w:rPr>
          <w:sz w:val="22"/>
          <w:szCs w:val="22"/>
          <w:lang w:val="en-GB"/>
        </w:rPr>
      </w:pPr>
      <w:r w:rsidRPr="00D96821">
        <w:rPr>
          <w:sz w:val="22"/>
          <w:szCs w:val="22"/>
          <w:lang w:val="en-GB"/>
        </w:rPr>
        <w:t>is to see the relevant reasons for acting, on occasions when they coexist with considerations that on their own would be reasons for acting otherwise, as, not overriding, but silencing those other considerations—as bringing it about that, in the circumstances, they are not reasons at all (</w:t>
      </w:r>
      <w:r w:rsidRPr="00D96821">
        <w:rPr>
          <w:rStyle w:val="EXT-SChar"/>
          <w:sz w:val="22"/>
          <w:szCs w:val="22"/>
          <w:lang w:val="en-GB"/>
        </w:rPr>
        <w:fldChar w:fldCharType="begin"/>
      </w:r>
      <w:r w:rsidRPr="00D96821">
        <w:rPr>
          <w:rStyle w:val="EXT-SChar"/>
          <w:sz w:val="22"/>
          <w:szCs w:val="22"/>
          <w:lang w:val="en-GB"/>
        </w:rPr>
        <w:instrText xml:space="preserve"> ADDIN EN.CITE &lt;EndNote&gt;&lt;Cite ExcludeAuth="1"&gt;&lt;Author&gt;McDowell&lt;/Author&gt;&lt;Year&gt;1998&lt;/Year&gt;&lt;RecNum&gt;200&lt;/RecNum&gt;&lt;DisplayText&gt;&amp;quot;The Role of Eudaimonia in Aristotle’s Ethics&amp;quot;&lt;/DisplayText&gt;&lt;record&gt;&lt;rec-number&gt;200&lt;/rec-number&gt;&lt;foreign-keys&gt;&lt;key app="EN" db-id="9ratsrwz8wzzspewsdu502wwd2ezesewppe2" timestamp="1443591340"&gt;200&lt;/key&gt;&lt;/foreign-keys&gt;&lt;ref-type name="Book Section"&gt;5&lt;/ref-type&gt;&lt;contributors&gt;&lt;authors&gt;&lt;author&gt;McDowell, John&lt;/author&gt;&lt;/authors&gt;&lt;/contributors&gt;&lt;titles&gt;&lt;title&gt;The Role of Eudaimonia in Aristotle’s Ethics&lt;/title&gt;&lt;secondary-title&gt;Mind, Value, and Reality&lt;/secondary-title&gt;&lt;/titles&gt;&lt;pages&gt;3-22&lt;/pages&gt;&lt;dates&gt;&lt;year&gt;1998&lt;/year&gt;&lt;/dates&gt;&lt;pub-location&gt;Cambridge, Mass.&lt;/pub-location&gt;&lt;publisher&gt;Harvard University Press&lt;/publisher&gt;&lt;urls&gt;&lt;/urls&gt;&lt;/record&gt;&lt;/Cite&gt;&lt;/EndNote&gt;</w:instrText>
      </w:r>
      <w:r w:rsidRPr="00D96821">
        <w:rPr>
          <w:rStyle w:val="EXT-SChar"/>
          <w:sz w:val="22"/>
          <w:szCs w:val="22"/>
          <w:lang w:val="en-GB"/>
        </w:rPr>
        <w:fldChar w:fldCharType="separate"/>
      </w:r>
      <w:r w:rsidRPr="00D96821">
        <w:rPr>
          <w:rStyle w:val="EXT-SChar"/>
          <w:noProof/>
          <w:sz w:val="22"/>
          <w:szCs w:val="22"/>
          <w:lang w:val="en-GB"/>
        </w:rPr>
        <w:t>"The Role of Eudaimonia in Aristotle’s Ethics"</w:t>
      </w:r>
      <w:r w:rsidRPr="00D96821">
        <w:rPr>
          <w:rStyle w:val="EXT-SChar"/>
          <w:sz w:val="22"/>
          <w:szCs w:val="22"/>
          <w:lang w:val="en-GB"/>
        </w:rPr>
        <w:fldChar w:fldCharType="end"/>
      </w:r>
      <w:r w:rsidRPr="00D96821">
        <w:rPr>
          <w:rStyle w:val="EXT-SChar"/>
          <w:sz w:val="22"/>
          <w:szCs w:val="22"/>
          <w:lang w:val="en-GB"/>
        </w:rPr>
        <w:t xml:space="preserve"> p. 17).</w:t>
      </w:r>
    </w:p>
    <w:p w14:paraId="7944D003" w14:textId="19C4763D" w:rsidR="005F1BD8" w:rsidRPr="00D96821" w:rsidRDefault="005F1BD8" w:rsidP="0025765E">
      <w:pPr>
        <w:pStyle w:val="EndnoteText"/>
        <w:rPr>
          <w:sz w:val="22"/>
          <w:szCs w:val="22"/>
        </w:rPr>
      </w:pPr>
      <w:r w:rsidRPr="00D96821">
        <w:rPr>
          <w:sz w:val="22"/>
          <w:szCs w:val="22"/>
          <w:lang w:val="en-GB"/>
        </w:rPr>
        <w:t xml:space="preserve">See also </w:t>
      </w:r>
      <w:r w:rsidRPr="00D96821">
        <w:rPr>
          <w:sz w:val="22"/>
          <w:szCs w:val="22"/>
          <w:lang w:val="en-GB"/>
        </w:rPr>
        <w:fldChar w:fldCharType="begin"/>
      </w:r>
      <w:r w:rsidRPr="00D96821">
        <w:rPr>
          <w:sz w:val="22"/>
          <w:szCs w:val="22"/>
          <w:lang w:val="en-GB"/>
        </w:rPr>
        <w:instrText xml:space="preserve"> ADDIN EN.CITE &lt;EndNote&gt;&lt;Cite&gt;&lt;Author&gt;Anderson&lt;/Author&gt;&lt;Year&gt;1993&lt;/Year&gt;&lt;RecNum&gt;78&lt;/RecNum&gt;&lt;DisplayText&gt;Elizabeth Anderson, &lt;style face="italic"&gt;Value in Ethics and Economics&lt;/style&gt;&lt;/DisplayText&gt;&lt;record&gt;&lt;rec-number&gt;78&lt;/rec-number&gt;&lt;foreign-keys&gt;&lt;key app="EN" db-id="9ratsrwz8wzzspewsdu502wwd2ezesewppe2" timestamp="1438607715"&gt;78&lt;/key&gt;&lt;/foreign-keys&gt;&lt;ref-type name="Book"&gt;6&lt;/ref-type&gt;&lt;contributors&gt;&lt;authors&gt;&lt;author&gt;Anderson, Elizabeth&lt;/author&gt;&lt;/authors&gt;&lt;/contributors&gt;&lt;titles&gt;&lt;title&gt;Value in Ethics and Economics&lt;/title&gt;&lt;/titles&gt;&lt;dates&gt;&lt;year&gt;1993&lt;/year&gt;&lt;/dates&gt;&lt;pub-location&gt;Cambridge, Mass.&lt;/pub-location&gt;&lt;publisher&gt;Harvard University Press&lt;/publisher&gt;&lt;urls&gt;&lt;/urls&gt;&lt;/record&gt;&lt;/Cite&gt;&lt;/EndNote&gt;</w:instrText>
      </w:r>
      <w:r w:rsidRPr="00D96821">
        <w:rPr>
          <w:sz w:val="22"/>
          <w:szCs w:val="22"/>
          <w:lang w:val="en-GB"/>
        </w:rPr>
        <w:fldChar w:fldCharType="separate"/>
      </w:r>
      <w:r w:rsidRPr="00D96821">
        <w:rPr>
          <w:noProof/>
          <w:sz w:val="22"/>
          <w:szCs w:val="22"/>
          <w:lang w:val="en-GB"/>
        </w:rPr>
        <w:t xml:space="preserve">Elizabeth Anderson, </w:t>
      </w:r>
      <w:r w:rsidRPr="00D96821">
        <w:rPr>
          <w:i/>
          <w:noProof/>
          <w:sz w:val="22"/>
          <w:szCs w:val="22"/>
          <w:lang w:val="en-GB"/>
        </w:rPr>
        <w:t>Value in Ethics and Economics</w:t>
      </w:r>
      <w:r w:rsidRPr="00D96821">
        <w:rPr>
          <w:sz w:val="22"/>
          <w:szCs w:val="22"/>
          <w:lang w:val="en-GB"/>
        </w:rPr>
        <w:fldChar w:fldCharType="end"/>
      </w:r>
      <w:r w:rsidRPr="00D96821">
        <w:rPr>
          <w:sz w:val="22"/>
          <w:szCs w:val="22"/>
          <w:lang w:val="en-GB"/>
        </w:rPr>
        <w:t xml:space="preserve">, pp. 37–8. For critical discussion, see </w:t>
      </w:r>
      <w:r w:rsidRPr="00D96821">
        <w:rPr>
          <w:sz w:val="22"/>
          <w:szCs w:val="22"/>
          <w:lang w:val="en-GB"/>
        </w:rPr>
        <w:fldChar w:fldCharType="begin"/>
      </w:r>
      <w:r w:rsidRPr="00D96821">
        <w:rPr>
          <w:sz w:val="22"/>
          <w:szCs w:val="22"/>
          <w:lang w:val="en-GB"/>
        </w:rPr>
        <w:instrText xml:space="preserve"> ADDIN EN.CITE &lt;EndNote&gt;&lt;Cite&gt;&lt;Author&gt;Seidman&lt;/Author&gt;&lt;Year&gt;2005&lt;/Year&gt;&lt;RecNum&gt;204&lt;/RecNum&gt;&lt;DisplayText&gt;Jeffrey Seidman, &amp;quot;Two Sides of ‘Silencing&amp;quot;&lt;/DisplayText&gt;&lt;record&gt;&lt;rec-number&gt;204&lt;/rec-number&gt;&lt;foreign-keys&gt;&lt;key app="EN" db-id="9ratsrwz8wzzspewsdu502wwd2ezesewppe2" timestamp="1443596630"&gt;204&lt;/key&gt;&lt;/foreign-keys&gt;&lt;ref-type name="Journal Article"&gt;17&lt;/ref-type&gt;&lt;contributors&gt;&lt;authors&gt;&lt;author&gt;Seidman, Jeffrey&lt;/author&gt;&lt;/authors&gt;&lt;/contributors&gt;&lt;titles&gt;&lt;title&gt;Two Sides of ‘Silencing&lt;/title&gt;&lt;secondary-title&gt;The Philosophical Quarterly&lt;/secondary-title&gt;&lt;/titles&gt;&lt;periodical&gt;&lt;full-title&gt;The Philosophical Quarterly&lt;/full-title&gt;&lt;/periodical&gt;&lt;pages&gt;68-77&lt;/pages&gt;&lt;volume&gt;55&lt;/volume&gt;&lt;dates&gt;&lt;year&gt;2005&lt;/year&gt;&lt;/dates&gt;&lt;urls&gt;&lt;/urls&gt;&lt;/record&gt;&lt;/Cite&gt;&lt;/EndNote&gt;</w:instrText>
      </w:r>
      <w:r w:rsidRPr="00D96821">
        <w:rPr>
          <w:sz w:val="22"/>
          <w:szCs w:val="22"/>
          <w:lang w:val="en-GB"/>
        </w:rPr>
        <w:fldChar w:fldCharType="separate"/>
      </w:r>
      <w:r w:rsidRPr="00D96821">
        <w:rPr>
          <w:noProof/>
          <w:sz w:val="22"/>
          <w:szCs w:val="22"/>
          <w:lang w:val="en-GB"/>
        </w:rPr>
        <w:t>Jeffrey Seidman, "Two Sides of ‘Silencing"</w:t>
      </w:r>
      <w:r w:rsidRPr="00D96821">
        <w:rPr>
          <w:sz w:val="22"/>
          <w:szCs w:val="22"/>
          <w:lang w:val="en-GB"/>
        </w:rPr>
        <w:fldChar w:fldCharType="end"/>
      </w:r>
      <w:r w:rsidRPr="00D96821">
        <w:rPr>
          <w:sz w:val="22"/>
          <w:szCs w:val="22"/>
          <w:lang w:val="en-GB"/>
        </w:rPr>
        <w:t>.</w:t>
      </w:r>
    </w:p>
  </w:endnote>
  <w:endnote w:id="4">
    <w:p w14:paraId="4D70EA08" w14:textId="4BE7C164" w:rsidR="009C43F3" w:rsidRPr="00D96821" w:rsidRDefault="009C43F3" w:rsidP="009C43F3">
      <w:pPr>
        <w:pStyle w:val="EndnoteText"/>
        <w:tabs>
          <w:tab w:val="left" w:pos="1560"/>
        </w:tabs>
        <w:rPr>
          <w:sz w:val="22"/>
          <w:szCs w:val="22"/>
        </w:rPr>
      </w:pPr>
      <w:r w:rsidRPr="00D96821">
        <w:rPr>
          <w:rStyle w:val="EndnoteReference"/>
          <w:sz w:val="22"/>
          <w:szCs w:val="22"/>
        </w:rPr>
        <w:endnoteRef/>
      </w:r>
      <w:r w:rsidRPr="00D96821">
        <w:rPr>
          <w:sz w:val="22"/>
          <w:szCs w:val="22"/>
        </w:rPr>
        <w:t xml:space="preserve">  See </w:t>
      </w:r>
      <w:r w:rsidRPr="00D96821">
        <w:rPr>
          <w:sz w:val="22"/>
          <w:szCs w:val="22"/>
        </w:rPr>
        <w:fldChar w:fldCharType="begin"/>
      </w:r>
      <w:r w:rsidRPr="00D96821">
        <w:rPr>
          <w:sz w:val="22"/>
          <w:szCs w:val="22"/>
        </w:rPr>
        <w:instrText xml:space="preserve"> ADDIN EN.CITE &lt;EndNote&gt;&lt;Cite&gt;&lt;Author&gt;Raz&lt;/Author&gt;&lt;Year&gt;1999&lt;/Year&gt;&lt;RecNum&gt;190&lt;/RecNum&gt;&lt;DisplayText&gt;Joseph Raz, &lt;style face="italic"&gt;Practical Reason and Norms&lt;/style&gt;&lt;/DisplayText&gt;&lt;record&gt;&lt;rec-number&gt;190&lt;/rec-number&gt;&lt;foreign-keys&gt;&lt;key app="EN" db-id="9ratsrwz8wzzspewsdu502wwd2ezesewppe2" timestamp="1443589456"&gt;190&lt;/key&gt;&lt;/foreign-keys&gt;&lt;ref-type name="Book"&gt;6&lt;/ref-type&gt;&lt;contributors&gt;&lt;authors&gt;&lt;author&gt;Raz, Joseph&lt;/author&gt;&lt;/authors&gt;&lt;/contributors&gt;&lt;titles&gt;&lt;title&gt;Practical Reason and Norms&lt;/title&gt;&lt;/titles&gt;&lt;edition&gt;2nd&lt;/edition&gt;&lt;dates&gt;&lt;year&gt;1999&lt;/year&gt;&lt;/dates&gt;&lt;pub-location&gt;Oxford&lt;/pub-location&gt;&lt;publisher&gt;Oxford University Press&lt;/publisher&gt;&lt;urls&gt;&lt;/urls&gt;&lt;/record&gt;&lt;/Cite&gt;&lt;/EndNote&gt;</w:instrText>
      </w:r>
      <w:r w:rsidRPr="00D96821">
        <w:rPr>
          <w:sz w:val="22"/>
          <w:szCs w:val="22"/>
        </w:rPr>
        <w:fldChar w:fldCharType="separate"/>
      </w:r>
      <w:r w:rsidRPr="00D96821">
        <w:rPr>
          <w:noProof/>
          <w:sz w:val="22"/>
          <w:szCs w:val="22"/>
        </w:rPr>
        <w:t xml:space="preserve">Joseph Raz, </w:t>
      </w:r>
      <w:r w:rsidRPr="00D96821">
        <w:rPr>
          <w:i/>
          <w:noProof/>
          <w:sz w:val="22"/>
          <w:szCs w:val="22"/>
        </w:rPr>
        <w:t>Practical Reason and Norms</w:t>
      </w:r>
      <w:r w:rsidRPr="00D96821">
        <w:rPr>
          <w:sz w:val="22"/>
          <w:szCs w:val="22"/>
        </w:rPr>
        <w:fldChar w:fldCharType="end"/>
      </w:r>
      <w:r w:rsidRPr="00D96821">
        <w:rPr>
          <w:sz w:val="22"/>
          <w:szCs w:val="22"/>
        </w:rPr>
        <w:t>, Ch.1 (at pp. 3</w:t>
      </w:r>
      <w:r w:rsidR="00814C41" w:rsidRPr="00D96821">
        <w:rPr>
          <w:sz w:val="22"/>
          <w:szCs w:val="22"/>
        </w:rPr>
        <w:t>5</w:t>
      </w:r>
      <w:r w:rsidRPr="00D96821">
        <w:rPr>
          <w:sz w:val="22"/>
          <w:szCs w:val="22"/>
        </w:rPr>
        <w:t>-</w:t>
      </w:r>
      <w:r w:rsidR="00814C41" w:rsidRPr="00D96821">
        <w:rPr>
          <w:sz w:val="22"/>
          <w:szCs w:val="22"/>
        </w:rPr>
        <w:t>48</w:t>
      </w:r>
      <w:r w:rsidRPr="00D96821">
        <w:rPr>
          <w:sz w:val="22"/>
          <w:szCs w:val="22"/>
        </w:rPr>
        <w:t xml:space="preserve">) and Postscript. Raz initially describes an exclusionary reason as a reason not to act for some other reason. As G.F. Schueler, </w:t>
      </w:r>
      <w:r w:rsidRPr="00D96821">
        <w:rPr>
          <w:sz w:val="22"/>
          <w:szCs w:val="22"/>
        </w:rPr>
        <w:fldChar w:fldCharType="begin"/>
      </w:r>
      <w:r w:rsidRPr="00D96821">
        <w:rPr>
          <w:sz w:val="22"/>
          <w:szCs w:val="22"/>
        </w:rPr>
        <w:instrText xml:space="preserve"> ADDIN EN.CITE &lt;EndNote&gt;&lt;Cite ExcludeAuth="1"&gt;&lt;Author&gt;Schueler&lt;/Author&gt;&lt;Year&gt;1979&lt;/Year&gt;&lt;RecNum&gt;12&lt;/RecNum&gt;&lt;DisplayText&gt;&amp;quot;Exclusionary Reasons&amp;quot;&lt;/DisplayText&gt;&lt;record&gt;&lt;rec-number&gt;12&lt;/rec-number&gt;&lt;foreign-keys&gt;&lt;key app="EN" db-id="sxsapx9pw5rxwbefvfzparttpws0dd22z9v5" timestamp="1392340473"&gt;12&lt;/key&gt;&lt;/foreign-keys&gt;&lt;ref-type name="Journal Article"&gt;17&lt;/ref-type&gt;&lt;contributors&gt;&lt;authors&gt;&lt;author&gt;G.F. Schueler&lt;/author&gt;&lt;/authors&gt;&lt;/contributors&gt;&lt;titles&gt;&lt;title&gt;Exclusionary Reasons&lt;/title&gt;&lt;secondary-title&gt;The Personalist&lt;/secondary-title&gt;&lt;/titles&gt;&lt;periodical&gt;&lt;full-title&gt;The Personalist&lt;/full-title&gt;&lt;/periodical&gt;&lt;pages&gt;407-10&lt;/pages&gt;&lt;volume&gt;60&lt;/volume&gt;&lt;dates&gt;&lt;year&gt;1979&lt;/year&gt;&lt;/dates&gt;&lt;urls&gt;&lt;/urls&gt;&lt;/record&gt;&lt;/Cite&gt;&lt;/EndNote&gt;</w:instrText>
      </w:r>
      <w:r w:rsidRPr="00D96821">
        <w:rPr>
          <w:sz w:val="22"/>
          <w:szCs w:val="22"/>
        </w:rPr>
        <w:fldChar w:fldCharType="separate"/>
      </w:r>
      <w:r w:rsidRPr="00D96821">
        <w:rPr>
          <w:noProof/>
          <w:sz w:val="22"/>
          <w:szCs w:val="22"/>
        </w:rPr>
        <w:t>"Exclusionary Reasons"</w:t>
      </w:r>
      <w:r w:rsidRPr="00D96821">
        <w:rPr>
          <w:sz w:val="22"/>
          <w:szCs w:val="22"/>
        </w:rPr>
        <w:fldChar w:fldCharType="end"/>
      </w:r>
      <w:r w:rsidRPr="00D96821">
        <w:rPr>
          <w:sz w:val="22"/>
          <w:szCs w:val="22"/>
        </w:rPr>
        <w:t xml:space="preserve"> points out, there is a sense in which every reason against an action is a reason against acting for the reasons in favour. But Raz’s idea of an exclusionary reason is more particularly that of a reason against acting </w:t>
      </w:r>
      <w:r w:rsidRPr="00D96821">
        <w:rPr>
          <w:i/>
          <w:sz w:val="22"/>
          <w:szCs w:val="22"/>
        </w:rPr>
        <w:t xml:space="preserve">for </w:t>
      </w:r>
      <w:r w:rsidRPr="00D96821">
        <w:rPr>
          <w:sz w:val="22"/>
          <w:szCs w:val="22"/>
        </w:rPr>
        <w:t>a first-order reason – against being motivated or guided by that first-order reason when one acts (see pp.178-85).</w:t>
      </w:r>
    </w:p>
  </w:endnote>
  <w:endnote w:id="5">
    <w:p w14:paraId="1C07D024" w14:textId="260E9DC0" w:rsidR="005F1BD8" w:rsidRPr="00D96821" w:rsidRDefault="005F1BD8" w:rsidP="00CB35E2">
      <w:pPr>
        <w:pStyle w:val="EndnoteText"/>
        <w:tabs>
          <w:tab w:val="left" w:pos="1560"/>
        </w:tabs>
        <w:rPr>
          <w:sz w:val="22"/>
          <w:szCs w:val="22"/>
        </w:rPr>
      </w:pPr>
      <w:r w:rsidRPr="00D96821">
        <w:rPr>
          <w:rStyle w:val="EndnoteReference"/>
          <w:sz w:val="22"/>
          <w:szCs w:val="22"/>
        </w:rPr>
        <w:endnoteRef/>
      </w:r>
      <w:r w:rsidRPr="00D96821">
        <w:rPr>
          <w:sz w:val="22"/>
          <w:szCs w:val="22"/>
        </w:rPr>
        <w:t xml:space="preserve">  E.g., </w:t>
      </w:r>
      <w:r w:rsidRPr="00D96821">
        <w:rPr>
          <w:sz w:val="22"/>
          <w:szCs w:val="22"/>
        </w:rPr>
        <w:fldChar w:fldCharType="begin"/>
      </w:r>
      <w:r w:rsidRPr="00D96821">
        <w:rPr>
          <w:sz w:val="22"/>
          <w:szCs w:val="22"/>
        </w:rPr>
        <w:instrText xml:space="preserve"> ADDIN EN.CITE &lt;EndNote&gt;&lt;Cite&gt;&lt;Author&gt;Kamm&lt;/Author&gt;&lt;Year&gt;2002&lt;/Year&gt;&lt;RecNum&gt;149&lt;/RecNum&gt;&lt;DisplayText&gt;F.M. Kamm, &amp;quot;Rights&amp;quot;&lt;/DisplayText&gt;&lt;record&gt;&lt;rec-number&gt;149&lt;/rec-number&gt;&lt;foreign-keys&gt;&lt;key app="EN" db-id="9ratsrwz8wzzspewsdu502wwd2ezesewppe2" timestamp="1441163394"&gt;149&lt;/key&gt;&lt;/foreign-keys&gt;&lt;ref-type name="Book Section"&gt;5&lt;/ref-type&gt;&lt;contributors&gt;&lt;authors&gt;&lt;author&gt;Kamm, F.M.&lt;/author&gt;&lt;/authors&gt;&lt;secondary-authors&gt;&lt;author&gt;Coleman, Jules &lt;/author&gt;&lt;author&gt;Shapiro, Scott &lt;/author&gt;&lt;/secondary-authors&gt;&lt;/contributors&gt;&lt;titles&gt;&lt;title&gt;Rights&lt;/title&gt;&lt;secondary-title&gt;The Oxford Handbook of Jurisprudence and Philosophy of Law&lt;/secondary-title&gt;&lt;/titles&gt;&lt;pages&gt;477-513&lt;/pages&gt;&lt;dates&gt;&lt;year&gt;2002&lt;/year&gt;&lt;/dates&gt;&lt;pub-location&gt;Oxford&lt;/pub-location&gt;&lt;publisher&gt;Oxford University Press&lt;/publisher&gt;&lt;urls&gt;&lt;/urls&gt;&lt;/record&gt;&lt;/Cite&gt;&lt;/EndNote&gt;</w:instrText>
      </w:r>
      <w:r w:rsidRPr="00D96821">
        <w:rPr>
          <w:sz w:val="22"/>
          <w:szCs w:val="22"/>
        </w:rPr>
        <w:fldChar w:fldCharType="separate"/>
      </w:r>
      <w:r w:rsidRPr="00D96821">
        <w:rPr>
          <w:noProof/>
          <w:sz w:val="22"/>
          <w:szCs w:val="22"/>
        </w:rPr>
        <w:t>F.M. Kamm, "Rights"</w:t>
      </w:r>
      <w:r w:rsidRPr="00D96821">
        <w:rPr>
          <w:sz w:val="22"/>
          <w:szCs w:val="22"/>
        </w:rPr>
        <w:fldChar w:fldCharType="end"/>
      </w:r>
      <w:r w:rsidRPr="00D96821">
        <w:rPr>
          <w:sz w:val="22"/>
          <w:szCs w:val="22"/>
        </w:rPr>
        <w:t>, pp. 477, 488, 509.</w:t>
      </w:r>
    </w:p>
  </w:endnote>
  <w:endnote w:id="6">
    <w:p w14:paraId="07ABABC6" w14:textId="77777777" w:rsidR="005F1BD8" w:rsidRPr="00D96821" w:rsidRDefault="005F1BD8" w:rsidP="009C0790">
      <w:pPr>
        <w:pStyle w:val="EndnoteText"/>
        <w:tabs>
          <w:tab w:val="left" w:pos="1560"/>
        </w:tabs>
        <w:rPr>
          <w:sz w:val="22"/>
          <w:szCs w:val="22"/>
        </w:rPr>
      </w:pPr>
      <w:r w:rsidRPr="00D96821">
        <w:rPr>
          <w:rStyle w:val="EndnoteReference"/>
          <w:sz w:val="22"/>
          <w:szCs w:val="22"/>
        </w:rPr>
        <w:endnoteRef/>
      </w:r>
      <w:r w:rsidRPr="00D96821">
        <w:rPr>
          <w:sz w:val="22"/>
          <w:szCs w:val="22"/>
        </w:rPr>
        <w:t xml:space="preserve">  </w:t>
      </w:r>
      <w:r w:rsidRPr="00D96821">
        <w:rPr>
          <w:i/>
          <w:sz w:val="22"/>
          <w:szCs w:val="22"/>
        </w:rPr>
        <w:t>Contra</w:t>
      </w:r>
      <w:r w:rsidRPr="00D96821">
        <w:rPr>
          <w:sz w:val="22"/>
          <w:szCs w:val="22"/>
        </w:rPr>
        <w:t xml:space="preserve"> </w:t>
      </w:r>
      <w:r w:rsidRPr="00D96821">
        <w:rPr>
          <w:sz w:val="22"/>
          <w:szCs w:val="22"/>
        </w:rPr>
        <w:fldChar w:fldCharType="begin"/>
      </w:r>
      <w:r w:rsidRPr="00D96821">
        <w:rPr>
          <w:sz w:val="22"/>
          <w:szCs w:val="22"/>
        </w:rPr>
        <w:instrText xml:space="preserve"> ADDIN EN.CITE &lt;EndNote&gt;&lt;Cite&gt;&lt;Author&gt;Clarke&lt;/Author&gt;&lt;Year&gt;1977&lt;/Year&gt;&lt;RecNum&gt;8&lt;/RecNum&gt;&lt;DisplayText&gt;D.S. Clarke, Jr., &amp;quot;Exclusionary Reasons&amp;quot;&lt;/DisplayText&gt;&lt;record&gt;&lt;rec-number&gt;8&lt;/rec-number&gt;&lt;foreign-keys&gt;&lt;key app="EN" db-id="a5ffrdzp85025zevt0ivvtahzzw0ea5fveps" timestamp="1449117701"&gt;8&lt;/key&gt;&lt;/foreign-keys&gt;&lt;ref-type name="Journal Article"&gt;17&lt;/ref-type&gt;&lt;contributors&gt;&lt;authors&gt;&lt;author&gt;Clarke, D.S., Jr.&lt;/author&gt;&lt;/authors&gt;&lt;/contributors&gt;&lt;titles&gt;&lt;title&gt;Exclusionary Reasons&lt;/title&gt;&lt;secondary-title&gt;Mind &lt;/secondary-title&gt;&lt;/titles&gt;&lt;periodical&gt;&lt;full-title&gt;Mind&lt;/full-title&gt;&lt;/periodical&gt;&lt;pages&gt;252-5&lt;/pages&gt;&lt;volume&gt;86&lt;/volume&gt;&lt;dates&gt;&lt;year&gt;1977&lt;/year&gt;&lt;/dates&gt;&lt;urls&gt;&lt;/urls&gt;&lt;/record&gt;&lt;/Cite&gt;&lt;/EndNote&gt;</w:instrText>
      </w:r>
      <w:r w:rsidRPr="00D96821">
        <w:rPr>
          <w:sz w:val="22"/>
          <w:szCs w:val="22"/>
        </w:rPr>
        <w:fldChar w:fldCharType="separate"/>
      </w:r>
      <w:r w:rsidRPr="00D96821">
        <w:rPr>
          <w:noProof/>
          <w:sz w:val="22"/>
          <w:szCs w:val="22"/>
        </w:rPr>
        <w:t>D.S. Clarke, Jr., "Exclusionary Reasons"</w:t>
      </w:r>
      <w:r w:rsidRPr="00D96821">
        <w:rPr>
          <w:sz w:val="22"/>
          <w:szCs w:val="22"/>
        </w:rPr>
        <w:fldChar w:fldCharType="end"/>
      </w:r>
      <w:r w:rsidRPr="00D96821">
        <w:rPr>
          <w:sz w:val="22"/>
          <w:szCs w:val="22"/>
        </w:rPr>
        <w:t xml:space="preserve">. Nor is an exclusionary reason a kind of peremptory, trumping first-order reason, as is suggested by </w:t>
      </w:r>
      <w:r w:rsidRPr="00D96821">
        <w:rPr>
          <w:sz w:val="22"/>
          <w:szCs w:val="22"/>
        </w:rPr>
        <w:fldChar w:fldCharType="begin"/>
      </w:r>
      <w:r w:rsidRPr="00D96821">
        <w:rPr>
          <w:sz w:val="22"/>
          <w:szCs w:val="22"/>
        </w:rPr>
        <w:instrText xml:space="preserve"> ADDIN EN.CITE &lt;EndNote&gt;&lt;Cite&gt;&lt;Author&gt;Alexander&lt;/Author&gt;&lt;Year&gt;1990&lt;/Year&gt;&lt;RecNum&gt;7&lt;/RecNum&gt;&lt;DisplayText&gt;Larry Alexander, &amp;quot;Law and Exclusionary Reasons&amp;quot;&lt;/DisplayText&gt;&lt;record&gt;&lt;rec-number&gt;7&lt;/rec-number&gt;&lt;foreign-keys&gt;&lt;key app="EN" db-id="a5ffrdzp85025zevt0ivvtahzzw0ea5fveps" timestamp="1449117542"&gt;7&lt;/key&gt;&lt;/foreign-keys&gt;&lt;ref-type name="Journal Article"&gt;17&lt;/ref-type&gt;&lt;contributors&gt;&lt;authors&gt;&lt;author&gt;Alexander, Larry&lt;/author&gt;&lt;/authors&gt;&lt;/contributors&gt;&lt;titles&gt;&lt;title&gt;Law and Exclusionary Reasons&lt;/title&gt;&lt;secondary-title&gt;Philosophical Topics&lt;/secondary-title&gt;&lt;/titles&gt;&lt;periodical&gt;&lt;full-title&gt;Philosophical Topics&lt;/full-title&gt;&lt;/periodical&gt;&lt;pages&gt;5-22&lt;/pages&gt;&lt;volume&gt;18&lt;/volume&gt;&lt;dates&gt;&lt;year&gt;1990&lt;/year&gt;&lt;/dates&gt;&lt;urls&gt;&lt;/urls&gt;&lt;/record&gt;&lt;/Cite&gt;&lt;/EndNote&gt;</w:instrText>
      </w:r>
      <w:r w:rsidRPr="00D96821">
        <w:rPr>
          <w:sz w:val="22"/>
          <w:szCs w:val="22"/>
        </w:rPr>
        <w:fldChar w:fldCharType="separate"/>
      </w:r>
      <w:r w:rsidRPr="00D96821">
        <w:rPr>
          <w:noProof/>
          <w:sz w:val="22"/>
          <w:szCs w:val="22"/>
        </w:rPr>
        <w:t>Larry Alexander, "Law and Exclusionary Reasons"</w:t>
      </w:r>
      <w:r w:rsidRPr="00D96821">
        <w:rPr>
          <w:sz w:val="22"/>
          <w:szCs w:val="22"/>
        </w:rPr>
        <w:fldChar w:fldCharType="end"/>
      </w:r>
      <w:r w:rsidRPr="00D96821">
        <w:rPr>
          <w:sz w:val="22"/>
          <w:szCs w:val="22"/>
        </w:rPr>
        <w:t>.</w:t>
      </w:r>
    </w:p>
  </w:endnote>
  <w:endnote w:id="7">
    <w:p w14:paraId="4F6E0B4A" w14:textId="16A2413C" w:rsidR="005F1BD8" w:rsidRPr="00D96821" w:rsidRDefault="005F1BD8">
      <w:pPr>
        <w:pStyle w:val="EndnoteText"/>
        <w:rPr>
          <w:sz w:val="22"/>
          <w:szCs w:val="22"/>
        </w:rPr>
      </w:pPr>
      <w:r w:rsidRPr="00D96821">
        <w:rPr>
          <w:rStyle w:val="EndnoteReference"/>
          <w:sz w:val="22"/>
          <w:szCs w:val="22"/>
        </w:rPr>
        <w:endnoteRef/>
      </w:r>
      <w:r w:rsidRPr="00D96821">
        <w:rPr>
          <w:sz w:val="22"/>
          <w:szCs w:val="22"/>
        </w:rPr>
        <w:t xml:space="preserve">  </w:t>
      </w:r>
      <w:r w:rsidRPr="00D96821">
        <w:rPr>
          <w:sz w:val="22"/>
          <w:szCs w:val="22"/>
        </w:rPr>
        <w:fldChar w:fldCharType="begin"/>
      </w:r>
      <w:r w:rsidRPr="00D96821">
        <w:rPr>
          <w:sz w:val="22"/>
          <w:szCs w:val="22"/>
        </w:rPr>
        <w:instrText xml:space="preserve"> ADDIN EN.CITE &lt;EndNote&gt;&lt;Cite&gt;&lt;Author&gt;Raz&lt;/Author&gt;&lt;Year&gt;1999&lt;/Year&gt;&lt;RecNum&gt;190&lt;/RecNum&gt;&lt;DisplayText&gt;Raz, &lt;style face="italic"&gt;Practical Reason and Norms&lt;/style&gt;&lt;/DisplayText&gt;&lt;record&gt;&lt;rec-number&gt;190&lt;/rec-number&gt;&lt;foreign-keys&gt;&lt;key app="EN" db-id="9ratsrwz8wzzspewsdu502wwd2ezesewppe2" timestamp="1443589456"&gt;190&lt;/key&gt;&lt;/foreign-keys&gt;&lt;ref-type name="Book"&gt;6&lt;/ref-type&gt;&lt;contributors&gt;&lt;authors&gt;&lt;author&gt;Raz, Joseph&lt;/author&gt;&lt;/authors&gt;&lt;/contributors&gt;&lt;titles&gt;&lt;title&gt;Practical Reason and Norms&lt;/title&gt;&lt;/titles&gt;&lt;edition&gt;2nd&lt;/edition&gt;&lt;dates&gt;&lt;year&gt;1999&lt;/year&gt;&lt;/dates&gt;&lt;pub-location&gt;Oxford&lt;/pub-location&gt;&lt;publisher&gt;Oxford University Press&lt;/publisher&gt;&lt;urls&gt;&lt;/urls&gt;&lt;/record&gt;&lt;/Cite&gt;&lt;/EndNote&gt;</w:instrText>
      </w:r>
      <w:r w:rsidRPr="00D96821">
        <w:rPr>
          <w:sz w:val="22"/>
          <w:szCs w:val="22"/>
        </w:rPr>
        <w:fldChar w:fldCharType="separate"/>
      </w:r>
      <w:r w:rsidRPr="00D96821">
        <w:rPr>
          <w:noProof/>
          <w:sz w:val="22"/>
          <w:szCs w:val="22"/>
        </w:rPr>
        <w:t xml:space="preserve">Raz, </w:t>
      </w:r>
      <w:r w:rsidRPr="00D96821">
        <w:rPr>
          <w:i/>
          <w:noProof/>
          <w:sz w:val="22"/>
          <w:szCs w:val="22"/>
        </w:rPr>
        <w:t>Practical Reason and Norms</w:t>
      </w:r>
      <w:r w:rsidRPr="00D96821">
        <w:rPr>
          <w:sz w:val="22"/>
          <w:szCs w:val="22"/>
        </w:rPr>
        <w:fldChar w:fldCharType="end"/>
      </w:r>
      <w:r w:rsidRPr="00D96821">
        <w:rPr>
          <w:sz w:val="22"/>
          <w:szCs w:val="22"/>
        </w:rPr>
        <w:t>, p. 48.</w:t>
      </w:r>
    </w:p>
  </w:endnote>
  <w:endnote w:id="8">
    <w:p w14:paraId="1A3B9BA0" w14:textId="30DC222F" w:rsidR="005F1BD8" w:rsidRPr="00D96821" w:rsidRDefault="005F1BD8" w:rsidP="00CB35E2">
      <w:pPr>
        <w:pStyle w:val="EndnoteText"/>
        <w:tabs>
          <w:tab w:val="left" w:pos="1560"/>
        </w:tabs>
        <w:rPr>
          <w:sz w:val="22"/>
          <w:szCs w:val="22"/>
        </w:rPr>
      </w:pPr>
      <w:r w:rsidRPr="00D96821">
        <w:rPr>
          <w:rStyle w:val="EndnoteReference"/>
          <w:sz w:val="22"/>
          <w:szCs w:val="22"/>
        </w:rPr>
        <w:endnoteRef/>
      </w:r>
      <w:r w:rsidRPr="00D96821">
        <w:rPr>
          <w:sz w:val="22"/>
          <w:szCs w:val="22"/>
        </w:rPr>
        <w:t xml:space="preserve">  You might object: “Whiling away the time by comparing the strengths of reasons is not </w:t>
      </w:r>
      <w:r w:rsidRPr="00D96821">
        <w:rPr>
          <w:i/>
          <w:sz w:val="22"/>
          <w:szCs w:val="22"/>
        </w:rPr>
        <w:t>deliberating</w:t>
      </w:r>
      <w:r w:rsidRPr="00D96821">
        <w:rPr>
          <w:sz w:val="22"/>
          <w:szCs w:val="22"/>
        </w:rPr>
        <w:t xml:space="preserve">. Deliberating is assessing reasons as part of the process of deciding what to do.” To someone who insists on using the word “deliberation” that way, I am happy to concede that usage. I then rephrase my point as follows: deliberation, on that usage, has two components: it is (i) weighing reasons as (ii) an input to decision. Then Raz’s claim about exclusionary reasons is that they are reasons against (ii) but not (i). However, the reasons for deliberative </w:t>
      </w:r>
      <w:r w:rsidR="00814C41" w:rsidRPr="00D96821">
        <w:rPr>
          <w:sz w:val="22"/>
          <w:szCs w:val="22"/>
        </w:rPr>
        <w:t>restriction</w:t>
      </w:r>
      <w:r w:rsidRPr="00D96821">
        <w:rPr>
          <w:sz w:val="22"/>
          <w:szCs w:val="22"/>
        </w:rPr>
        <w:t xml:space="preserve"> illustrated by the rope-bridge example are reasons against (i). So a difference remains. And anyway, including a reason in deliberation but then not acting on it would still satisfy Raz’s definition.</w:t>
      </w:r>
    </w:p>
  </w:endnote>
  <w:endnote w:id="9">
    <w:p w14:paraId="158E1E1D" w14:textId="2285A54C" w:rsidR="005F1BD8" w:rsidRPr="00D96821" w:rsidRDefault="005F1BD8">
      <w:pPr>
        <w:pStyle w:val="EndnoteText"/>
        <w:rPr>
          <w:sz w:val="22"/>
          <w:szCs w:val="22"/>
        </w:rPr>
      </w:pPr>
      <w:r w:rsidRPr="00D96821">
        <w:rPr>
          <w:rStyle w:val="EndnoteReference"/>
          <w:sz w:val="22"/>
          <w:szCs w:val="22"/>
        </w:rPr>
        <w:endnoteRef/>
      </w:r>
      <w:r w:rsidRPr="00D96821">
        <w:rPr>
          <w:sz w:val="22"/>
          <w:szCs w:val="22"/>
        </w:rPr>
        <w:t xml:space="preserve">  For discussion, see </w:t>
      </w:r>
      <w:r w:rsidRPr="00D96821">
        <w:rPr>
          <w:sz w:val="22"/>
          <w:szCs w:val="22"/>
        </w:rPr>
        <w:fldChar w:fldCharType="begin"/>
      </w:r>
      <w:r w:rsidRPr="00D96821">
        <w:rPr>
          <w:sz w:val="22"/>
          <w:szCs w:val="22"/>
        </w:rPr>
        <w:instrText xml:space="preserve"> ADDIN EN.CITE &lt;EndNote&gt;&lt;Cite&gt;&lt;Author&gt;Fridland&lt;/Author&gt;&lt;Year&gt;2014&lt;/Year&gt;&lt;RecNum&gt;156&lt;/RecNum&gt;&lt;DisplayText&gt;Ellen Fridland, &amp;quot;They’ve Lost Control: Reflections on Skill&amp;quot;&lt;/DisplayText&gt;&lt;record&gt;&lt;rec-number&gt;156&lt;/rec-number&gt;&lt;foreign-keys&gt;&lt;key app="EN" db-id="a5ffrdzp85025zevt0ivvtahzzw0ea5fveps" timestamp="1530581319"&gt;156&lt;/key&gt;&lt;/foreign-keys&gt;&lt;ref-type name="Journal Article"&gt;17&lt;/ref-type&gt;&lt;contributors&gt;&lt;authors&gt;&lt;author&gt;Fridland, Ellen&lt;/author&gt;&lt;/authors&gt;&lt;/contributors&gt;&lt;titles&gt;&lt;title&gt;They’ve Lost Control: Reflections on Skill&lt;/title&gt;&lt;secondary-title&gt;Synthese&lt;/secondary-title&gt;&lt;/titles&gt;&lt;periodical&gt;&lt;full-title&gt;Synthese&lt;/full-title&gt;&lt;/periodical&gt;&lt;pages&gt;2729–2750&lt;/pages&gt;&lt;volume&gt;191&lt;/volume&gt;&lt;dates&gt;&lt;year&gt;2014&lt;/year&gt;&lt;/dates&gt;&lt;urls&gt;&lt;/urls&gt;&lt;/record&gt;&lt;/Cite&gt;&lt;/EndNote&gt;</w:instrText>
      </w:r>
      <w:r w:rsidRPr="00D96821">
        <w:rPr>
          <w:sz w:val="22"/>
          <w:szCs w:val="22"/>
        </w:rPr>
        <w:fldChar w:fldCharType="separate"/>
      </w:r>
      <w:r w:rsidRPr="00D96821">
        <w:rPr>
          <w:noProof/>
          <w:sz w:val="22"/>
          <w:szCs w:val="22"/>
        </w:rPr>
        <w:t>Ellen Fridland, "They’ve Lost Control: Reflections on Skill"</w:t>
      </w:r>
      <w:r w:rsidRPr="00D96821">
        <w:rPr>
          <w:sz w:val="22"/>
          <w:szCs w:val="22"/>
        </w:rPr>
        <w:fldChar w:fldCharType="end"/>
      </w:r>
      <w:r w:rsidRPr="00D96821">
        <w:rPr>
          <w:sz w:val="22"/>
          <w:szCs w:val="22"/>
        </w:rPr>
        <w:t>.</w:t>
      </w:r>
    </w:p>
  </w:endnote>
  <w:endnote w:id="10">
    <w:p w14:paraId="55F79AAD" w14:textId="7D5A55F9" w:rsidR="005F1BD8" w:rsidRPr="00D96821" w:rsidRDefault="005F1BD8">
      <w:pPr>
        <w:pStyle w:val="EndnoteText"/>
        <w:rPr>
          <w:sz w:val="22"/>
          <w:szCs w:val="22"/>
        </w:rPr>
      </w:pPr>
      <w:r w:rsidRPr="00D96821">
        <w:rPr>
          <w:rStyle w:val="EndnoteReference"/>
          <w:sz w:val="22"/>
          <w:szCs w:val="22"/>
        </w:rPr>
        <w:endnoteRef/>
      </w:r>
      <w:r w:rsidRPr="00D96821">
        <w:rPr>
          <w:sz w:val="22"/>
          <w:szCs w:val="22"/>
        </w:rPr>
        <w:t xml:space="preserve">  See </w:t>
      </w:r>
      <w:r w:rsidRPr="00D96821">
        <w:rPr>
          <w:sz w:val="22"/>
          <w:szCs w:val="22"/>
        </w:rPr>
        <w:fldChar w:fldCharType="begin"/>
      </w:r>
      <w:r w:rsidRPr="00D96821">
        <w:rPr>
          <w:sz w:val="22"/>
          <w:szCs w:val="22"/>
        </w:rPr>
        <w:instrText xml:space="preserve"> ADDIN EN.CITE &lt;EndNote&gt;&lt;Cite&gt;&lt;Author&gt;Klein&lt;/Author&gt;&lt;Year&gt;1998&lt;/Year&gt;&lt;RecNum&gt;37&lt;/RecNum&gt;&lt;DisplayText&gt;Gary Klein, &lt;style face="italic"&gt;Sources of Power: How People Make Decisions&lt;/style&gt;&lt;/DisplayText&gt;&lt;record&gt;&lt;rec-number&gt;37&lt;/rec-number&gt;&lt;foreign-keys&gt;&lt;key app="EN" db-id="a5ffrdzp85025zevt0ivvtahzzw0ea5fveps" timestamp="1457739108"&gt;37&lt;/key&gt;&lt;/foreign-keys&gt;&lt;ref-type name="Book"&gt;6&lt;/ref-type&gt;&lt;contributors&gt;&lt;authors&gt;&lt;author&gt;Klein, Gary&lt;/author&gt;&lt;/authors&gt;&lt;/contributors&gt;&lt;titles&gt;&lt;title&gt;Sources of Power: How People Make Decisions&lt;/title&gt;&lt;/titles&gt;&lt;dates&gt;&lt;year&gt;1998&lt;/year&gt;&lt;/dates&gt;&lt;pub-location&gt;Cambridge, Mass.&lt;/pub-location&gt;&lt;publisher&gt;MIT Press&lt;/publisher&gt;&lt;urls&gt;&lt;/urls&gt;&lt;/record&gt;&lt;/Cite&gt;&lt;/EndNote&gt;</w:instrText>
      </w:r>
      <w:r w:rsidRPr="00D96821">
        <w:rPr>
          <w:sz w:val="22"/>
          <w:szCs w:val="22"/>
        </w:rPr>
        <w:fldChar w:fldCharType="separate"/>
      </w:r>
      <w:r w:rsidRPr="00D96821">
        <w:rPr>
          <w:noProof/>
          <w:sz w:val="22"/>
          <w:szCs w:val="22"/>
        </w:rPr>
        <w:t xml:space="preserve">Gary Klein, </w:t>
      </w:r>
      <w:r w:rsidRPr="00D96821">
        <w:rPr>
          <w:i/>
          <w:noProof/>
          <w:sz w:val="22"/>
          <w:szCs w:val="22"/>
        </w:rPr>
        <w:t>Sources of Power: How People Make Decisions</w:t>
      </w:r>
      <w:r w:rsidRPr="00D96821">
        <w:rPr>
          <w:sz w:val="22"/>
          <w:szCs w:val="22"/>
        </w:rPr>
        <w:fldChar w:fldCharType="end"/>
      </w:r>
      <w:r w:rsidRPr="00D96821">
        <w:rPr>
          <w:sz w:val="22"/>
          <w:szCs w:val="22"/>
        </w:rPr>
        <w:t>, Ch. 2.</w:t>
      </w:r>
    </w:p>
  </w:endnote>
  <w:endnote w:id="11">
    <w:p w14:paraId="0CAF5AB7" w14:textId="473EEF6B" w:rsidR="005F1BD8" w:rsidRPr="00D96821" w:rsidRDefault="005F1BD8">
      <w:pPr>
        <w:pStyle w:val="EndnoteText"/>
        <w:rPr>
          <w:sz w:val="22"/>
          <w:szCs w:val="22"/>
        </w:rPr>
      </w:pPr>
      <w:r w:rsidRPr="00D96821">
        <w:rPr>
          <w:rStyle w:val="EndnoteReference"/>
          <w:sz w:val="22"/>
          <w:szCs w:val="22"/>
        </w:rPr>
        <w:endnoteRef/>
      </w:r>
      <w:r w:rsidRPr="00D96821">
        <w:rPr>
          <w:sz w:val="22"/>
          <w:szCs w:val="22"/>
        </w:rPr>
        <w:t xml:space="preserve">  See </w:t>
      </w:r>
      <w:r w:rsidRPr="00D96821">
        <w:rPr>
          <w:sz w:val="22"/>
          <w:szCs w:val="22"/>
        </w:rPr>
        <w:fldChar w:fldCharType="begin"/>
      </w:r>
      <w:r w:rsidRPr="00D96821">
        <w:rPr>
          <w:sz w:val="22"/>
          <w:szCs w:val="22"/>
        </w:rPr>
        <w:instrText xml:space="preserve"> ADDIN EN.CITE &lt;EndNote&gt;&lt;Cite&gt;&lt;Author&gt;Patrick&lt;/Author&gt;&lt;Year&gt;2010&lt;/Year&gt;&lt;RecNum&gt;148&lt;/RecNum&gt;&lt;DisplayText&gt;Urey W. Patrick and John C. Hall, &lt;style face="italic"&gt;In Defense of Self and Others: Issues, Facts and Fallacies -- the Realities of Law Enforcement&amp;apos;s Use of Deadly Force&lt;/style&gt;&lt;/DisplayText&gt;&lt;record&gt;&lt;rec-number&gt;148&lt;/rec-number&gt;&lt;foreign-keys&gt;&lt;key app="EN" db-id="a5ffrdzp85025zevt0ivvtahzzw0ea5fveps" timestamp="1530173917"&gt;148&lt;/key&gt;&lt;/foreign-keys&gt;&lt;ref-type name="Book"&gt;6&lt;/ref-type&gt;&lt;contributors&gt;&lt;authors&gt;&lt;author&gt;Patrick, Urey W.&lt;/author&gt;&lt;author&gt;Hall, John C.&lt;/author&gt;&lt;/authors&gt;&lt;/contributors&gt;&lt;titles&gt;&lt;title&gt;In Defense of Self and Others: Issues, Facts and Fallacies -- The Realities of Law Enforcement&amp;apos;s Use of Deadly Force&lt;/title&gt;&lt;/titles&gt;&lt;edition&gt;2nd&lt;/edition&gt;&lt;dates&gt;&lt;year&gt;2010&lt;/year&gt;&lt;/dates&gt;&lt;pub-location&gt;Durham, NC&lt;/pub-location&gt;&lt;publisher&gt;Carolina Academic Press&lt;/publisher&gt;&lt;urls&gt;&lt;/urls&gt;&lt;/record&gt;&lt;/Cite&gt;&lt;/EndNote&gt;</w:instrText>
      </w:r>
      <w:r w:rsidRPr="00D96821">
        <w:rPr>
          <w:sz w:val="22"/>
          <w:szCs w:val="22"/>
        </w:rPr>
        <w:fldChar w:fldCharType="separate"/>
      </w:r>
      <w:r w:rsidRPr="00D96821">
        <w:rPr>
          <w:noProof/>
          <w:sz w:val="22"/>
          <w:szCs w:val="22"/>
        </w:rPr>
        <w:t xml:space="preserve">Urey W. Patrick and John C. Hall, </w:t>
      </w:r>
      <w:r w:rsidRPr="00D96821">
        <w:rPr>
          <w:i/>
          <w:noProof/>
          <w:sz w:val="22"/>
          <w:szCs w:val="22"/>
        </w:rPr>
        <w:t>In Defense of Self and Others: Issues, Facts and Fallacies -- the Realities of Law Enforcement's Use of Deadly Force</w:t>
      </w:r>
      <w:r w:rsidRPr="00D96821">
        <w:rPr>
          <w:sz w:val="22"/>
          <w:szCs w:val="22"/>
        </w:rPr>
        <w:fldChar w:fldCharType="end"/>
      </w:r>
      <w:r w:rsidRPr="00D96821">
        <w:rPr>
          <w:sz w:val="22"/>
          <w:szCs w:val="22"/>
        </w:rPr>
        <w:t>, Ch. 5.</w:t>
      </w:r>
    </w:p>
  </w:endnote>
  <w:endnote w:id="12">
    <w:p w14:paraId="2807769E" w14:textId="56725271" w:rsidR="005F1BD8" w:rsidRPr="00D96821" w:rsidRDefault="005F1BD8">
      <w:pPr>
        <w:pStyle w:val="EndnoteText"/>
        <w:rPr>
          <w:sz w:val="22"/>
          <w:szCs w:val="22"/>
        </w:rPr>
      </w:pPr>
      <w:r w:rsidRPr="00D96821">
        <w:rPr>
          <w:rStyle w:val="EndnoteReference"/>
          <w:sz w:val="22"/>
          <w:szCs w:val="22"/>
        </w:rPr>
        <w:endnoteRef/>
      </w:r>
      <w:r w:rsidRPr="00D96821">
        <w:rPr>
          <w:sz w:val="22"/>
          <w:szCs w:val="22"/>
        </w:rPr>
        <w:t xml:space="preserve">  Again, see </w:t>
      </w:r>
      <w:r w:rsidRPr="00D96821">
        <w:rPr>
          <w:sz w:val="22"/>
          <w:szCs w:val="22"/>
        </w:rPr>
        <w:fldChar w:fldCharType="begin"/>
      </w:r>
      <w:r w:rsidRPr="00D96821">
        <w:rPr>
          <w:sz w:val="22"/>
          <w:szCs w:val="22"/>
        </w:rPr>
        <w:instrText xml:space="preserve"> ADDIN EN.CITE &lt;EndNote&gt;&lt;Cite&gt;&lt;Author&gt;Klein&lt;/Author&gt;&lt;Year&gt;1998&lt;/Year&gt;&lt;RecNum&gt;37&lt;/RecNum&gt;&lt;DisplayText&gt;Klein, &lt;style face="italic"&gt;Sources of Power: How People Make Decisions&lt;/style&gt;&lt;/DisplayText&gt;&lt;record&gt;&lt;rec-number&gt;37&lt;/rec-number&gt;&lt;foreign-keys&gt;&lt;key app="EN" db-id="a5ffrdzp85025zevt0ivvtahzzw0ea5fveps" timestamp="1457739108"&gt;37&lt;/key&gt;&lt;/foreign-keys&gt;&lt;ref-type name="Book"&gt;6&lt;/ref-type&gt;&lt;contributors&gt;&lt;authors&gt;&lt;author&gt;Klein, Gary&lt;/author&gt;&lt;/authors&gt;&lt;/contributors&gt;&lt;titles&gt;&lt;title&gt;Sources of Power: How People Make Decisions&lt;/title&gt;&lt;/titles&gt;&lt;dates&gt;&lt;year&gt;1998&lt;/year&gt;&lt;/dates&gt;&lt;pub-location&gt;Cambridge, Mass.&lt;/pub-location&gt;&lt;publisher&gt;MIT Press&lt;/publisher&gt;&lt;urls&gt;&lt;/urls&gt;&lt;/record&gt;&lt;/Cite&gt;&lt;/EndNote&gt;</w:instrText>
      </w:r>
      <w:r w:rsidRPr="00D96821">
        <w:rPr>
          <w:sz w:val="22"/>
          <w:szCs w:val="22"/>
        </w:rPr>
        <w:fldChar w:fldCharType="separate"/>
      </w:r>
      <w:r w:rsidRPr="00D96821">
        <w:rPr>
          <w:noProof/>
          <w:sz w:val="22"/>
          <w:szCs w:val="22"/>
        </w:rPr>
        <w:t xml:space="preserve">Klein, </w:t>
      </w:r>
      <w:r w:rsidRPr="00D96821">
        <w:rPr>
          <w:i/>
          <w:noProof/>
          <w:sz w:val="22"/>
          <w:szCs w:val="22"/>
        </w:rPr>
        <w:t>Sources of Power: How People Make Decisions</w:t>
      </w:r>
      <w:r w:rsidRPr="00D96821">
        <w:rPr>
          <w:sz w:val="22"/>
          <w:szCs w:val="22"/>
        </w:rPr>
        <w:fldChar w:fldCharType="end"/>
      </w:r>
      <w:r w:rsidRPr="00D96821">
        <w:rPr>
          <w:sz w:val="22"/>
          <w:szCs w:val="22"/>
        </w:rPr>
        <w:t xml:space="preserve">, Ch. 2 – also Ch. 10. This invites the question, “What account of ‘responsiveness to reasons’ can be given that captures these kinds of non-deliberative skill?” I offer an answer in my </w:t>
      </w:r>
      <w:r w:rsidRPr="00D96821">
        <w:rPr>
          <w:sz w:val="22"/>
          <w:szCs w:val="22"/>
        </w:rPr>
        <w:fldChar w:fldCharType="begin"/>
      </w:r>
      <w:r w:rsidRPr="00D96821">
        <w:rPr>
          <w:sz w:val="22"/>
          <w:szCs w:val="22"/>
        </w:rPr>
        <w:instrText xml:space="preserve"> ADDIN EN.CITE &lt;EndNote&gt;&lt;Cite ExcludeAuth="1"&gt;&lt;Author&gt;Cullity&lt;/Author&gt;&lt;Year&gt;2018&lt;/Year&gt;&lt;RecNum&gt;124&lt;/RecNum&gt;&lt;DisplayText&gt;&amp;quot;Stupid Goodness&amp;quot;&lt;/DisplayText&gt;&lt;record&gt;&lt;rec-number&gt;124&lt;/rec-number&gt;&lt;foreign-keys&gt;&lt;key app="EN" db-id="a5ffrdzp85025zevt0ivvtahzzw0ea5fveps" timestamp="1467952876"&gt;124&lt;/key&gt;&lt;/foreign-keys&gt;&lt;ref-type name="Book Section"&gt;5&lt;/ref-type&gt;&lt;contributors&gt;&lt;authors&gt;&lt;author&gt;Cullity, Garrett&lt;/author&gt;&lt;/authors&gt;&lt;secondary-authors&gt;&lt;author&gt;Schroeter, Francois&lt;/author&gt;&lt;/secondary-authors&gt;&lt;/contributors&gt;&lt;titles&gt;&lt;title&gt;Stupid Goodness&lt;/title&gt;&lt;secondary-title&gt;The Many Moral Rationalisms&lt;/secondary-title&gt;&lt;/titles&gt;&lt;dates&gt;&lt;year&gt;2018&lt;/year&gt;&lt;/dates&gt;&lt;pub-location&gt;Oxford&lt;/pub-location&gt;&lt;publisher&gt;Oxford University Press&lt;/publisher&gt;&lt;urls&gt;&lt;/urls&gt;&lt;/record&gt;&lt;/Cite&gt;&lt;/EndNote&gt;</w:instrText>
      </w:r>
      <w:r w:rsidRPr="00D96821">
        <w:rPr>
          <w:sz w:val="22"/>
          <w:szCs w:val="22"/>
        </w:rPr>
        <w:fldChar w:fldCharType="separate"/>
      </w:r>
      <w:r w:rsidRPr="00D96821">
        <w:rPr>
          <w:noProof/>
          <w:sz w:val="22"/>
          <w:szCs w:val="22"/>
        </w:rPr>
        <w:t>"Stupid Goodness"</w:t>
      </w:r>
      <w:r w:rsidRPr="00D96821">
        <w:rPr>
          <w:sz w:val="22"/>
          <w:szCs w:val="22"/>
        </w:rPr>
        <w:fldChar w:fldCharType="end"/>
      </w:r>
      <w:r w:rsidRPr="00D96821">
        <w:rPr>
          <w:sz w:val="22"/>
          <w:szCs w:val="22"/>
        </w:rPr>
        <w:t>, Sect. 3.</w:t>
      </w:r>
    </w:p>
  </w:endnote>
  <w:endnote w:id="13">
    <w:p w14:paraId="39E0E59C" w14:textId="2A4610AA" w:rsidR="005F1BD8" w:rsidRPr="00D96821" w:rsidRDefault="005F1BD8" w:rsidP="000301E1">
      <w:pPr>
        <w:pStyle w:val="EndnoteText"/>
        <w:rPr>
          <w:rFonts w:cs="Times New Roman"/>
          <w:sz w:val="22"/>
          <w:szCs w:val="22"/>
        </w:rPr>
      </w:pPr>
      <w:r w:rsidRPr="00D96821">
        <w:rPr>
          <w:rStyle w:val="EndnoteReference"/>
          <w:rFonts w:cs="Times New Roman"/>
          <w:sz w:val="22"/>
          <w:szCs w:val="22"/>
        </w:rPr>
        <w:endnoteRef/>
      </w:r>
      <w:r w:rsidRPr="00D96821">
        <w:rPr>
          <w:rFonts w:cs="Times New Roman"/>
          <w:sz w:val="22"/>
          <w:szCs w:val="22"/>
        </w:rPr>
        <w:t xml:space="preserve"> </w:t>
      </w:r>
      <w:r w:rsidR="00814C41" w:rsidRPr="00D96821">
        <w:rPr>
          <w:rFonts w:cs="Times New Roman"/>
          <w:sz w:val="22"/>
          <w:szCs w:val="22"/>
        </w:rPr>
        <w:t xml:space="preserve"> For an account of this distinction, see</w:t>
      </w:r>
      <w:r w:rsidRPr="00D96821">
        <w:rPr>
          <w:rFonts w:cs="Times New Roman"/>
          <w:sz w:val="22"/>
          <w:szCs w:val="22"/>
        </w:rPr>
        <w:t xml:space="preserve"> </w:t>
      </w:r>
      <w:r w:rsidRPr="00D96821">
        <w:rPr>
          <w:rFonts w:cs="Times New Roman"/>
          <w:sz w:val="22"/>
          <w:szCs w:val="22"/>
        </w:rPr>
        <w:fldChar w:fldCharType="begin"/>
      </w:r>
      <w:r w:rsidRPr="00D96821">
        <w:rPr>
          <w:sz w:val="22"/>
          <w:szCs w:val="22"/>
        </w:rPr>
        <w:instrText xml:space="preserve"> ADDIN EN.CITE &lt;EndNote&gt;&lt;Cite&gt;&lt;Author&gt;Kahneman&lt;/Author&gt;&lt;Year&gt;2011&lt;/Year&gt;&lt;RecNum&gt;60&lt;/RecNum&gt;&lt;DisplayText&gt;Daniel Kahneman, &lt;style face="italic"&gt;Thinking, Fast and Slow&lt;/style&gt;&lt;/DisplayText&gt;&lt;record&gt;&lt;rec-number&gt;60&lt;/rec-number&gt;&lt;foreign-keys&gt;&lt;key app="EN" db-id="a5ffrdzp85025zevt0ivvtahzzw0ea5fveps" timestamp="1462666900"&gt;60&lt;/key&gt;&lt;/foreign-keys&gt;&lt;ref-type name="Book"&gt;6&lt;/ref-type&gt;&lt;contributors&gt;&lt;authors&gt;&lt;author&gt;Kahneman, Daniel&lt;/author&gt;&lt;/authors&gt;&lt;/contributors&gt;&lt;titles&gt;&lt;title&gt;Thinking, Fast and Slow&lt;/title&gt;&lt;/titles&gt;&lt;dates&gt;&lt;year&gt;2011&lt;/year&gt;&lt;/dates&gt;&lt;pub-location&gt;London&lt;/pub-location&gt;&lt;publisher&gt;Penguin&lt;/publisher&gt;&lt;urls&gt;&lt;/urls&gt;&lt;/record&gt;&lt;/Cite&gt;&lt;/EndNote&gt;</w:instrText>
      </w:r>
      <w:r w:rsidRPr="00D96821">
        <w:rPr>
          <w:rFonts w:cs="Times New Roman"/>
          <w:sz w:val="22"/>
          <w:szCs w:val="22"/>
        </w:rPr>
        <w:fldChar w:fldCharType="separate"/>
      </w:r>
      <w:r w:rsidRPr="00D96821">
        <w:rPr>
          <w:noProof/>
          <w:sz w:val="22"/>
          <w:szCs w:val="22"/>
        </w:rPr>
        <w:t xml:space="preserve">Daniel Kahneman, </w:t>
      </w:r>
      <w:r w:rsidRPr="00D96821">
        <w:rPr>
          <w:i/>
          <w:noProof/>
          <w:sz w:val="22"/>
          <w:szCs w:val="22"/>
        </w:rPr>
        <w:t>Thinking, Fast and Slow</w:t>
      </w:r>
      <w:r w:rsidRPr="00D96821">
        <w:rPr>
          <w:rFonts w:cs="Times New Roman"/>
          <w:sz w:val="22"/>
          <w:szCs w:val="22"/>
        </w:rPr>
        <w:fldChar w:fldCharType="end"/>
      </w:r>
      <w:r w:rsidRPr="00D96821">
        <w:rPr>
          <w:rFonts w:cs="Times New Roman"/>
          <w:sz w:val="22"/>
          <w:szCs w:val="22"/>
        </w:rPr>
        <w:t>, Part I.</w:t>
      </w:r>
    </w:p>
  </w:endnote>
  <w:endnote w:id="14">
    <w:p w14:paraId="492CA0FD" w14:textId="1061BB25" w:rsidR="005F1BD8" w:rsidRPr="00D96821" w:rsidRDefault="005F1BD8">
      <w:pPr>
        <w:pStyle w:val="EndnoteText"/>
        <w:rPr>
          <w:sz w:val="22"/>
          <w:szCs w:val="22"/>
        </w:rPr>
      </w:pPr>
      <w:r w:rsidRPr="00D96821">
        <w:rPr>
          <w:rStyle w:val="EndnoteReference"/>
          <w:sz w:val="22"/>
          <w:szCs w:val="22"/>
        </w:rPr>
        <w:endnoteRef/>
      </w:r>
      <w:r w:rsidRPr="00D96821">
        <w:rPr>
          <w:sz w:val="22"/>
          <w:szCs w:val="22"/>
        </w:rPr>
        <w:t xml:space="preserve">  For a review of the psychological literature on emotional self-control, see </w:t>
      </w:r>
      <w:r w:rsidRPr="00D96821">
        <w:rPr>
          <w:sz w:val="22"/>
          <w:szCs w:val="22"/>
        </w:rPr>
        <w:fldChar w:fldCharType="begin"/>
      </w:r>
      <w:r w:rsidRPr="00D96821">
        <w:rPr>
          <w:sz w:val="22"/>
          <w:szCs w:val="22"/>
        </w:rPr>
        <w:instrText xml:space="preserve"> ADDIN EN.CITE &lt;EndNote&gt;&lt;Cite&gt;&lt;Author&gt;Gross&lt;/Author&gt;&lt;Year&gt;2015&lt;/Year&gt;&lt;RecNum&gt;155&lt;/RecNum&gt;&lt;DisplayText&gt;James J. Gross, &amp;quot;Emotion Regulation: Current Status and Future Prospects&amp;quot;&lt;/DisplayText&gt;&lt;record&gt;&lt;rec-number&gt;155&lt;/rec-number&gt;&lt;foreign-keys&gt;&lt;key app="EN" db-id="a5ffrdzp85025zevt0ivvtahzzw0ea5fveps" timestamp="1530580132"&gt;155&lt;/key&gt;&lt;/foreign-keys&gt;&lt;ref-type name="Journal Article"&gt;17&lt;/ref-type&gt;&lt;contributors&gt;&lt;authors&gt;&lt;author&gt;Gross, James J.&lt;/author&gt;&lt;/authors&gt;&lt;/contributors&gt;&lt;titles&gt;&lt;title&gt;Emotion Regulation: Current Status and Future Prospects&lt;/title&gt;&lt;secondary-title&gt;Psychological Inquiry&lt;/secondary-title&gt;&lt;/titles&gt;&lt;periodical&gt;&lt;full-title&gt;Psychological Inquiry&lt;/full-title&gt;&lt;/periodical&gt;&lt;pages&gt;1-26&lt;/pages&gt;&lt;volume&gt;26&lt;/volume&gt;&lt;dates&gt;&lt;year&gt;2015&lt;/year&gt;&lt;/dates&gt;&lt;urls&gt;&lt;/urls&gt;&lt;/record&gt;&lt;/Cite&gt;&lt;/EndNote&gt;</w:instrText>
      </w:r>
      <w:r w:rsidRPr="00D96821">
        <w:rPr>
          <w:sz w:val="22"/>
          <w:szCs w:val="22"/>
        </w:rPr>
        <w:fldChar w:fldCharType="separate"/>
      </w:r>
      <w:r w:rsidRPr="00D96821">
        <w:rPr>
          <w:noProof/>
          <w:sz w:val="22"/>
          <w:szCs w:val="22"/>
        </w:rPr>
        <w:t>James J. Gross, "Emotion Regulation: Current Status and Future Prospects"</w:t>
      </w:r>
      <w:r w:rsidRPr="00D96821">
        <w:rPr>
          <w:sz w:val="22"/>
          <w:szCs w:val="22"/>
        </w:rPr>
        <w:fldChar w:fldCharType="end"/>
      </w:r>
      <w:r w:rsidRPr="00D96821">
        <w:rPr>
          <w:sz w:val="22"/>
          <w:szCs w:val="22"/>
        </w:rPr>
        <w:t>.</w:t>
      </w:r>
    </w:p>
  </w:endnote>
  <w:endnote w:id="15">
    <w:p w14:paraId="0E5D67C9" w14:textId="6EA2C599" w:rsidR="005F1BD8" w:rsidRPr="00D96821" w:rsidRDefault="005F1BD8">
      <w:pPr>
        <w:pStyle w:val="EndnoteText"/>
        <w:rPr>
          <w:sz w:val="22"/>
          <w:szCs w:val="22"/>
        </w:rPr>
      </w:pPr>
      <w:r w:rsidRPr="00D96821">
        <w:rPr>
          <w:rStyle w:val="EndnoteReference"/>
          <w:sz w:val="22"/>
          <w:szCs w:val="22"/>
        </w:rPr>
        <w:endnoteRef/>
      </w:r>
      <w:r w:rsidRPr="00D96821">
        <w:rPr>
          <w:sz w:val="22"/>
          <w:szCs w:val="22"/>
        </w:rPr>
        <w:t xml:space="preserve">  See </w:t>
      </w:r>
      <w:r w:rsidRPr="00D96821">
        <w:rPr>
          <w:sz w:val="22"/>
          <w:szCs w:val="22"/>
        </w:rPr>
        <w:fldChar w:fldCharType="begin"/>
      </w:r>
      <w:r w:rsidRPr="00D96821">
        <w:rPr>
          <w:sz w:val="22"/>
          <w:szCs w:val="22"/>
        </w:rPr>
        <w:instrText xml:space="preserve"> ADDIN EN.CITE &lt;EndNote&gt;&lt;Cite&gt;&lt;Author&gt;Koglbauer&lt;/Author&gt;&lt;Year&gt;2011&lt;/Year&gt;&lt;RecNum&gt;154&lt;/RecNum&gt;&lt;DisplayText&gt;Ioana Koglbauer, et al., &amp;quot;Recovery Training in Simulator Improves Performance and Psychophysiological State of Pilots During Simulated and Real Visual Flight Rules Flight&amp;quot;&lt;/DisplayText&gt;&lt;record&gt;&lt;rec-number&gt;154&lt;/rec-number&gt;&lt;foreign-keys&gt;&lt;key app="EN" db-id="a5ffrdzp85025zevt0ivvtahzzw0ea5fveps" timestamp="1530579240"&gt;154&lt;/key&gt;&lt;/foreign-keys&gt;&lt;ref-type name="Journal Article"&gt;17&lt;/ref-type&gt;&lt;contributors&gt;&lt;authors&gt;&lt;author&gt;Koglbauer, Ioana&lt;/author&gt;&lt;author&gt;Kallus, K. Wolfgang&lt;/author&gt;&lt;author&gt;Braunstingl, Reinhard&lt;/author&gt;&lt;author&gt;Boucsein, Wolfram&lt;/author&gt;&lt;/authors&gt;&lt;/contributors&gt;&lt;titles&gt;&lt;title&gt;Recovery Training in Simulator Improves Performance and Psychophysiological State of Pilots During Simulated and Real Visual Flight Rules Flight&lt;/title&gt;&lt;secondary-title&gt;The International Journal of Aviation Psychology&lt;/secondary-title&gt;&lt;/titles&gt;&lt;periodical&gt;&lt;full-title&gt;The International Journal of Aviation Psychology&lt;/full-title&gt;&lt;/periodical&gt;&lt;pages&gt;307-324&lt;/pages&gt;&lt;volume&gt;21&lt;/volume&gt;&lt;dates&gt;&lt;year&gt;2011&lt;/year&gt;&lt;/dates&gt;&lt;urls&gt;&lt;/urls&gt;&lt;/record&gt;&lt;/Cite&gt;&lt;/EndNote&gt;</w:instrText>
      </w:r>
      <w:r w:rsidRPr="00D96821">
        <w:rPr>
          <w:sz w:val="22"/>
          <w:szCs w:val="22"/>
        </w:rPr>
        <w:fldChar w:fldCharType="separate"/>
      </w:r>
      <w:r w:rsidRPr="00D96821">
        <w:rPr>
          <w:noProof/>
          <w:sz w:val="22"/>
          <w:szCs w:val="22"/>
        </w:rPr>
        <w:t>Ioana Koglbauer, et al., "Recovery Training in Simulator Improves Performance and Psychophysiological State of Pilots During Simulated and Real Visual Flight Rules Flight"</w:t>
      </w:r>
      <w:r w:rsidRPr="00D96821">
        <w:rPr>
          <w:sz w:val="22"/>
          <w:szCs w:val="22"/>
        </w:rPr>
        <w:fldChar w:fldCharType="end"/>
      </w:r>
      <w:r w:rsidRPr="00D96821">
        <w:rPr>
          <w:sz w:val="22"/>
          <w:szCs w:val="22"/>
        </w:rPr>
        <w:t>.</w:t>
      </w:r>
    </w:p>
  </w:endnote>
  <w:endnote w:id="16">
    <w:p w14:paraId="2EC24800" w14:textId="21FD7D1F" w:rsidR="005F1BD8" w:rsidRPr="00D96821" w:rsidRDefault="005F1BD8">
      <w:pPr>
        <w:pStyle w:val="EndnoteText"/>
        <w:rPr>
          <w:sz w:val="22"/>
          <w:szCs w:val="22"/>
        </w:rPr>
      </w:pPr>
      <w:r w:rsidRPr="00D96821">
        <w:rPr>
          <w:rStyle w:val="EndnoteReference"/>
          <w:sz w:val="22"/>
          <w:szCs w:val="22"/>
        </w:rPr>
        <w:endnoteRef/>
      </w:r>
      <w:r w:rsidRPr="00D96821">
        <w:rPr>
          <w:sz w:val="22"/>
          <w:szCs w:val="22"/>
        </w:rPr>
        <w:t xml:space="preserve">  See </w:t>
      </w:r>
      <w:r w:rsidRPr="00D96821">
        <w:rPr>
          <w:sz w:val="22"/>
          <w:szCs w:val="22"/>
        </w:rPr>
        <w:fldChar w:fldCharType="begin"/>
      </w:r>
      <w:r w:rsidRPr="00D96821">
        <w:rPr>
          <w:sz w:val="22"/>
          <w:szCs w:val="22"/>
        </w:rPr>
        <w:instrText xml:space="preserve"> ADDIN EN.CITE &lt;EndNote&gt;&lt;Cite&gt;&lt;Author&gt;de Sousa&lt;/Author&gt;&lt;Year&gt;1987&lt;/Year&gt;&lt;RecNum&gt;157&lt;/RecNum&gt;&lt;DisplayText&gt;Ronald de Sousa, &lt;style face="italic"&gt;The Rationality of Emotion&lt;/style&gt;&lt;/DisplayText&gt;&lt;record&gt;&lt;rec-number&gt;157&lt;/rec-number&gt;&lt;foreign-keys&gt;&lt;key app="EN" db-id="a5ffrdzp85025zevt0ivvtahzzw0ea5fveps" timestamp="1530582845"&gt;157&lt;/key&gt;&lt;/foreign-keys&gt;&lt;ref-type name="Book"&gt;6&lt;/ref-type&gt;&lt;contributors&gt;&lt;authors&gt;&lt;author&gt;de Sousa, Ronald&lt;/author&gt;&lt;/authors&gt;&lt;/contributors&gt;&lt;titles&gt;&lt;title&gt;The Rationality of Emotion&lt;/title&gt;&lt;/titles&gt;&lt;dates&gt;&lt;year&gt;1987&lt;/year&gt;&lt;/dates&gt;&lt;pub-location&gt;Cambridge, MA&lt;/pub-location&gt;&lt;publisher&gt;MIT Press&lt;/publisher&gt;&lt;urls&gt;&lt;/urls&gt;&lt;/record&gt;&lt;/Cite&gt;&lt;/EndNote&gt;</w:instrText>
      </w:r>
      <w:r w:rsidRPr="00D96821">
        <w:rPr>
          <w:sz w:val="22"/>
          <w:szCs w:val="22"/>
        </w:rPr>
        <w:fldChar w:fldCharType="separate"/>
      </w:r>
      <w:r w:rsidRPr="00D96821">
        <w:rPr>
          <w:noProof/>
          <w:sz w:val="22"/>
          <w:szCs w:val="22"/>
        </w:rPr>
        <w:t xml:space="preserve">Ronald de Sousa, </w:t>
      </w:r>
      <w:r w:rsidRPr="00D96821">
        <w:rPr>
          <w:i/>
          <w:noProof/>
          <w:sz w:val="22"/>
          <w:szCs w:val="22"/>
        </w:rPr>
        <w:t>The Rationality of Emotion</w:t>
      </w:r>
      <w:r w:rsidRPr="00D96821">
        <w:rPr>
          <w:sz w:val="22"/>
          <w:szCs w:val="22"/>
        </w:rPr>
        <w:fldChar w:fldCharType="end"/>
      </w:r>
      <w:r w:rsidRPr="00D96821">
        <w:rPr>
          <w:sz w:val="22"/>
          <w:szCs w:val="22"/>
        </w:rPr>
        <w:t xml:space="preserve">; </w:t>
      </w:r>
      <w:r w:rsidRPr="00D96821">
        <w:rPr>
          <w:sz w:val="22"/>
          <w:szCs w:val="22"/>
        </w:rPr>
        <w:fldChar w:fldCharType="begin"/>
      </w:r>
      <w:r w:rsidRPr="00D96821">
        <w:rPr>
          <w:sz w:val="22"/>
          <w:szCs w:val="22"/>
        </w:rPr>
        <w:instrText xml:space="preserve"> ADDIN EN.CITE &lt;EndNote&gt;&lt;Cite&gt;&lt;Author&gt;Brady&lt;/Author&gt;&lt;Year&gt;2013&lt;/Year&gt;&lt;RecNum&gt;149&lt;/RecNum&gt;&lt;DisplayText&gt;Michael S. Brady, &lt;style face="italic"&gt;Emotional Insight: The Epistemic Role of Emotional Experience&lt;/style&gt;&lt;/DisplayText&gt;&lt;record&gt;&lt;rec-number&gt;149&lt;/rec-number&gt;&lt;foreign-keys&gt;&lt;key app="EN" db-id="a5ffrdzp85025zevt0ivvtahzzw0ea5fveps" timestamp="1530188242"&gt;149&lt;/key&gt;&lt;/foreign-keys&gt;&lt;ref-type name="Book"&gt;6&lt;/ref-type&gt;&lt;contributors&gt;&lt;authors&gt;&lt;author&gt;Brady, Michael S.&lt;/author&gt;&lt;/authors&gt;&lt;/contributors&gt;&lt;titles&gt;&lt;title&gt;Emotional Insight: The Epistemic Role of Emotional Experience&lt;/title&gt;&lt;/titles&gt;&lt;dates&gt;&lt;year&gt;2013&lt;/year&gt;&lt;/dates&gt;&lt;pub-location&gt;Oxford&lt;/pub-location&gt;&lt;publisher&gt;Oxford University Press&lt;/publisher&gt;&lt;urls&gt;&lt;/urls&gt;&lt;/record&gt;&lt;/Cite&gt;&lt;/EndNote&gt;</w:instrText>
      </w:r>
      <w:r w:rsidRPr="00D96821">
        <w:rPr>
          <w:sz w:val="22"/>
          <w:szCs w:val="22"/>
        </w:rPr>
        <w:fldChar w:fldCharType="separate"/>
      </w:r>
      <w:r w:rsidRPr="00D96821">
        <w:rPr>
          <w:noProof/>
          <w:sz w:val="22"/>
          <w:szCs w:val="22"/>
        </w:rPr>
        <w:t xml:space="preserve">Michael S. Brady, </w:t>
      </w:r>
      <w:r w:rsidRPr="00D96821">
        <w:rPr>
          <w:i/>
          <w:noProof/>
          <w:sz w:val="22"/>
          <w:szCs w:val="22"/>
        </w:rPr>
        <w:t>Emotional Insight: The Epistemic Role of Emotional Experience</w:t>
      </w:r>
      <w:r w:rsidRPr="00D96821">
        <w:rPr>
          <w:sz w:val="22"/>
          <w:szCs w:val="22"/>
        </w:rPr>
        <w:fldChar w:fldCharType="end"/>
      </w:r>
      <w:r w:rsidRPr="00D96821">
        <w:rPr>
          <w:sz w:val="22"/>
          <w:szCs w:val="22"/>
        </w:rPr>
        <w:t>.</w:t>
      </w:r>
    </w:p>
  </w:endnote>
  <w:endnote w:id="17">
    <w:p w14:paraId="6800F9D7" w14:textId="6FF3B07F" w:rsidR="005F1BD8" w:rsidRPr="00D96821" w:rsidRDefault="005F1BD8">
      <w:pPr>
        <w:pStyle w:val="EndnoteText"/>
        <w:rPr>
          <w:sz w:val="22"/>
          <w:szCs w:val="22"/>
        </w:rPr>
      </w:pPr>
      <w:r w:rsidRPr="00D96821">
        <w:rPr>
          <w:rStyle w:val="EndnoteReference"/>
          <w:sz w:val="22"/>
          <w:szCs w:val="22"/>
        </w:rPr>
        <w:endnoteRef/>
      </w:r>
      <w:r w:rsidRPr="00D96821">
        <w:rPr>
          <w:sz w:val="22"/>
          <w:szCs w:val="22"/>
        </w:rPr>
        <w:t xml:space="preserve">  See </w:t>
      </w:r>
      <w:r w:rsidRPr="00D96821">
        <w:rPr>
          <w:sz w:val="22"/>
          <w:szCs w:val="22"/>
        </w:rPr>
        <w:fldChar w:fldCharType="begin"/>
      </w:r>
      <w:r w:rsidRPr="00D96821">
        <w:rPr>
          <w:sz w:val="22"/>
          <w:szCs w:val="22"/>
        </w:rPr>
        <w:instrText xml:space="preserve"> ADDIN EN.CITE &lt;EndNote&gt;&lt;Cite&gt;&lt;Author&gt;Todaro-Franceschi&lt;/Author&gt;&lt;Year&gt;2013&lt;/Year&gt;&lt;RecNum&gt;150&lt;/RecNum&gt;&lt;DisplayText&gt;Vidette  Todaro-Franceschi, &lt;style face="italic"&gt;Compassion Fatigue and Burnout in Nursing: Enhancing Professional Quality of Life&lt;/style&gt;&lt;/DisplayText&gt;&lt;record&gt;&lt;rec-number&gt;150&lt;/rec-number&gt;&lt;foreign-keys&gt;&lt;key app="EN" db-id="a5ffrdzp85025zevt0ivvtahzzw0ea5fveps" timestamp="1530188733"&gt;150&lt;/key&gt;&lt;/foreign-keys&gt;&lt;ref-type name="Book"&gt;6&lt;/ref-type&gt;&lt;contributors&gt;&lt;authors&gt;&lt;author&gt;Todaro-Franceschi, Vidette &lt;/author&gt;&lt;/authors&gt;&lt;/contributors&gt;&lt;titles&gt;&lt;title&gt;Compassion Fatigue and Burnout in Nursing: Enhancing Professional Quality of Life&lt;/title&gt;&lt;/titles&gt;&lt;dates&gt;&lt;year&gt;2013&lt;/year&gt;&lt;/dates&gt;&lt;pub-location&gt;New York&lt;/pub-location&gt;&lt;publisher&gt;Springer&lt;/publisher&gt;&lt;urls&gt;&lt;/urls&gt;&lt;/record&gt;&lt;/Cite&gt;&lt;/EndNote&gt;</w:instrText>
      </w:r>
      <w:r w:rsidRPr="00D96821">
        <w:rPr>
          <w:sz w:val="22"/>
          <w:szCs w:val="22"/>
        </w:rPr>
        <w:fldChar w:fldCharType="separate"/>
      </w:r>
      <w:r w:rsidRPr="00D96821">
        <w:rPr>
          <w:noProof/>
          <w:sz w:val="22"/>
          <w:szCs w:val="22"/>
        </w:rPr>
        <w:t xml:space="preserve">Vidette  Todaro-Franceschi, </w:t>
      </w:r>
      <w:r w:rsidRPr="00D96821">
        <w:rPr>
          <w:i/>
          <w:noProof/>
          <w:sz w:val="22"/>
          <w:szCs w:val="22"/>
        </w:rPr>
        <w:t>Compassion Fatigue and Burnout in Nursing: Enhancing Professional Quality of Life</w:t>
      </w:r>
      <w:r w:rsidRPr="00D96821">
        <w:rPr>
          <w:sz w:val="22"/>
          <w:szCs w:val="22"/>
        </w:rPr>
        <w:fldChar w:fldCharType="end"/>
      </w:r>
      <w:r w:rsidRPr="00D96821">
        <w:rPr>
          <w:sz w:val="22"/>
          <w:szCs w:val="22"/>
        </w:rPr>
        <w:t>.</w:t>
      </w:r>
    </w:p>
  </w:endnote>
  <w:endnote w:id="18">
    <w:p w14:paraId="050BDD1E" w14:textId="25B1C356" w:rsidR="008813CA" w:rsidRDefault="008813CA" w:rsidP="008813CA">
      <w:pPr>
        <w:pStyle w:val="EndnoteText"/>
      </w:pPr>
      <w:r>
        <w:rPr>
          <w:rStyle w:val="EndnoteReference"/>
        </w:rPr>
        <w:endnoteRef/>
      </w:r>
      <w:r>
        <w:t xml:space="preserve">  </w:t>
      </w:r>
      <w:r w:rsidRPr="008813CA">
        <w:rPr>
          <w:sz w:val="22"/>
          <w:szCs w:val="22"/>
        </w:rPr>
        <w:t xml:space="preserve">So </w:t>
      </w:r>
      <w:r>
        <w:rPr>
          <w:sz w:val="22"/>
          <w:szCs w:val="22"/>
        </w:rPr>
        <w:t xml:space="preserve">my attempt to explain “role-based context-undermining” </w:t>
      </w:r>
      <w:r w:rsidRPr="008813CA">
        <w:rPr>
          <w:sz w:val="22"/>
          <w:szCs w:val="22"/>
        </w:rPr>
        <w:t>i</w:t>
      </w:r>
      <w:r w:rsidRPr="00D96821">
        <w:rPr>
          <w:sz w:val="22"/>
          <w:szCs w:val="22"/>
        </w:rPr>
        <w:t xml:space="preserve">n </w:t>
      </w:r>
      <w:r w:rsidRPr="00D96821">
        <w:rPr>
          <w:sz w:val="22"/>
          <w:szCs w:val="22"/>
        </w:rPr>
        <w:fldChar w:fldCharType="begin"/>
      </w:r>
      <w:r w:rsidRPr="00D96821">
        <w:rPr>
          <w:sz w:val="22"/>
          <w:szCs w:val="22"/>
        </w:rPr>
        <w:instrText xml:space="preserve"> ADDIN EN.CITE &lt;EndNote&gt;&lt;Cite ExcludeAuth="1"&gt;&lt;Author&gt;Cullity&lt;/Author&gt;&lt;Year&gt;2013&lt;/Year&gt;&lt;RecNum&gt;198&lt;/RecNum&gt;&lt;DisplayText&gt;&amp;quot;The Context-Undermining of Practical Reasons&amp;quot;&lt;/DisplayText&gt;&lt;record&gt;&lt;rec-number&gt;198&lt;/rec-number&gt;&lt;foreign-keys&gt;&lt;key app="EN" db-id="9ratsrwz8wzzspewsdu502wwd2ezesewppe2" timestamp="1443590929"&gt;198&lt;/key&gt;&lt;/foreign-keys&gt;&lt;ref-type name="Journal Article"&gt;17&lt;/ref-type&gt;&lt;contributors&gt;&lt;authors&gt;&lt;author&gt;Cullity, Garrett&lt;/author&gt;&lt;/authors&gt;&lt;/contributors&gt;&lt;titles&gt;&lt;title&gt;The Context-Undermining of Practical Reasons&lt;/title&gt;&lt;secondary-title&gt;Ethics&lt;/secondary-title&gt;&lt;/titles&gt;&lt;periodical&gt;&lt;full-title&gt;Ethics&lt;/full-title&gt;&lt;/periodical&gt;&lt;pages&gt;1-27&lt;/pages&gt;&lt;volume&gt;124&lt;/volume&gt;&lt;dates&gt;&lt;year&gt;2013&lt;/year&gt;&lt;/dates&gt;&lt;urls&gt;&lt;/urls&gt;&lt;/record&gt;&lt;/Cite&gt;&lt;/EndNote&gt;</w:instrText>
      </w:r>
      <w:r w:rsidRPr="00D96821">
        <w:rPr>
          <w:sz w:val="22"/>
          <w:szCs w:val="22"/>
        </w:rPr>
        <w:fldChar w:fldCharType="separate"/>
      </w:r>
      <w:r w:rsidRPr="00D96821">
        <w:rPr>
          <w:noProof/>
          <w:sz w:val="22"/>
          <w:szCs w:val="22"/>
        </w:rPr>
        <w:t>"The Context-Undermining of Practical Reasons"</w:t>
      </w:r>
      <w:r w:rsidRPr="00D96821">
        <w:rPr>
          <w:sz w:val="22"/>
          <w:szCs w:val="22"/>
        </w:rPr>
        <w:fldChar w:fldCharType="end"/>
      </w:r>
      <w:r>
        <w:rPr>
          <w:sz w:val="22"/>
          <w:szCs w:val="22"/>
        </w:rPr>
        <w:t xml:space="preserve"> was incomplete.</w:t>
      </w:r>
    </w:p>
  </w:endnote>
  <w:endnote w:id="19">
    <w:p w14:paraId="5A026C25" w14:textId="25ECB234" w:rsidR="005F1BD8" w:rsidRPr="00D96821" w:rsidRDefault="005F1BD8">
      <w:pPr>
        <w:pStyle w:val="EndnoteText"/>
        <w:rPr>
          <w:sz w:val="22"/>
          <w:szCs w:val="22"/>
        </w:rPr>
      </w:pPr>
      <w:r w:rsidRPr="00D96821">
        <w:rPr>
          <w:rStyle w:val="EndnoteReference"/>
          <w:sz w:val="22"/>
          <w:szCs w:val="22"/>
        </w:rPr>
        <w:endnoteRef/>
      </w:r>
      <w:r w:rsidRPr="00D96821">
        <w:rPr>
          <w:sz w:val="22"/>
          <w:szCs w:val="22"/>
        </w:rPr>
        <w:t xml:space="preserve">  For example, a standard fiduciary agreement specifies that it is the financial interests of the beneficiary that the trustee undertakes to serve. Then, although you might know that I will be made unhappy by my wealth, </w:t>
      </w:r>
      <w:r w:rsidRPr="00D96821">
        <w:rPr>
          <w:i/>
          <w:sz w:val="22"/>
          <w:szCs w:val="22"/>
        </w:rPr>
        <w:t>that</w:t>
      </w:r>
      <w:r w:rsidRPr="00D96821">
        <w:rPr>
          <w:sz w:val="22"/>
          <w:szCs w:val="22"/>
        </w:rPr>
        <w:t xml:space="preserve"> aspect of my interests will be irrelevant to your fiduciary action too. For the further issues that arise once we examine more closely how the beneficiary’s financial interests should be specified, see </w:t>
      </w:r>
      <w:r w:rsidRPr="00D96821">
        <w:rPr>
          <w:sz w:val="22"/>
          <w:szCs w:val="22"/>
        </w:rPr>
        <w:fldChar w:fldCharType="begin"/>
      </w:r>
      <w:r w:rsidRPr="00D96821">
        <w:rPr>
          <w:sz w:val="22"/>
          <w:szCs w:val="22"/>
        </w:rPr>
        <w:instrText xml:space="preserve"> ADDIN EN.CITE &lt;EndNote&gt;&lt;Cite&gt;&lt;Author&gt;Weirich&lt;/Author&gt;&lt;Year&gt;1988&lt;/Year&gt;&lt;RecNum&gt;153&lt;/RecNum&gt;&lt;DisplayText&gt;Paul Weirich, &amp;quot;Trustee Decisions in Investment and Finance&amp;quot;&lt;/DisplayText&gt;&lt;record&gt;&lt;rec-number&gt;153&lt;/rec-number&gt;&lt;foreign-keys&gt;&lt;key app="EN" db-id="a5ffrdzp85025zevt0ivvtahzzw0ea5fveps" timestamp="1530536192"&gt;153&lt;/key&gt;&lt;/foreign-keys&gt;&lt;ref-type name="Journal Article"&gt;17&lt;/ref-type&gt;&lt;contributors&gt;&lt;authors&gt;&lt;author&gt;Weirich, Paul&lt;/author&gt;&lt;/authors&gt;&lt;/contributors&gt;&lt;titles&gt;&lt;title&gt;Trustee Decisions in Investment and Finance&lt;/title&gt;&lt;secondary-title&gt;Journal of Business Ethics &lt;/secondary-title&gt;&lt;/titles&gt;&lt;periodical&gt;&lt;full-title&gt;Journal of Business Ethics&lt;/full-title&gt;&lt;/periodical&gt;&lt;pages&gt;73 - 80&lt;/pages&gt;&lt;volume&gt;7&lt;/volume&gt;&lt;dates&gt;&lt;year&gt;1988&lt;/year&gt;&lt;/dates&gt;&lt;urls&gt;&lt;/urls&gt;&lt;/record&gt;&lt;/Cite&gt;&lt;/EndNote&gt;</w:instrText>
      </w:r>
      <w:r w:rsidRPr="00D96821">
        <w:rPr>
          <w:sz w:val="22"/>
          <w:szCs w:val="22"/>
        </w:rPr>
        <w:fldChar w:fldCharType="separate"/>
      </w:r>
      <w:r w:rsidRPr="00D96821">
        <w:rPr>
          <w:noProof/>
          <w:sz w:val="22"/>
          <w:szCs w:val="22"/>
        </w:rPr>
        <w:t>Paul Weirich, "Trustee Decisions in Investment and Finance"</w:t>
      </w:r>
      <w:r w:rsidRPr="00D96821">
        <w:rPr>
          <w:sz w:val="22"/>
          <w:szCs w:val="22"/>
        </w:rPr>
        <w:fldChar w:fldCharType="end"/>
      </w:r>
      <w:r w:rsidRPr="00D96821">
        <w:rPr>
          <w:sz w:val="22"/>
          <w:szCs w:val="22"/>
        </w:rPr>
        <w:t>.</w:t>
      </w:r>
    </w:p>
  </w:endnote>
  <w:endnote w:id="20">
    <w:p w14:paraId="118E0227" w14:textId="703768E3" w:rsidR="005F1BD8" w:rsidRPr="00D96821" w:rsidRDefault="005F1BD8">
      <w:pPr>
        <w:pStyle w:val="EndnoteText"/>
        <w:rPr>
          <w:sz w:val="22"/>
          <w:szCs w:val="22"/>
        </w:rPr>
      </w:pPr>
      <w:r w:rsidRPr="00D96821">
        <w:rPr>
          <w:rStyle w:val="EndnoteReference"/>
          <w:sz w:val="22"/>
          <w:szCs w:val="22"/>
        </w:rPr>
        <w:endnoteRef/>
      </w:r>
      <w:r w:rsidRPr="00D96821">
        <w:rPr>
          <w:sz w:val="22"/>
          <w:szCs w:val="22"/>
        </w:rPr>
        <w:t xml:space="preserve">  It may be excusable, if the distraction was great enough: that could render you blameless. But an excuse for doing the wrong thing is different from a justification that makes your action right.</w:t>
      </w:r>
    </w:p>
  </w:endnote>
  <w:endnote w:id="21">
    <w:p w14:paraId="1F7FAE8C" w14:textId="10050440" w:rsidR="005F1BD8" w:rsidRPr="00D96821" w:rsidRDefault="005F1BD8">
      <w:pPr>
        <w:pStyle w:val="EndnoteText"/>
        <w:rPr>
          <w:sz w:val="22"/>
          <w:szCs w:val="22"/>
        </w:rPr>
      </w:pPr>
      <w:r w:rsidRPr="00D96821">
        <w:rPr>
          <w:rStyle w:val="EndnoteReference"/>
          <w:sz w:val="22"/>
          <w:szCs w:val="22"/>
        </w:rPr>
        <w:endnoteRef/>
      </w:r>
      <w:r w:rsidRPr="00D96821">
        <w:rPr>
          <w:sz w:val="22"/>
          <w:szCs w:val="22"/>
        </w:rPr>
        <w:t xml:space="preserve">  I give parallel examples pertaining to the institutional case in </w:t>
      </w:r>
      <w:r w:rsidRPr="00D96821">
        <w:rPr>
          <w:sz w:val="22"/>
          <w:szCs w:val="22"/>
        </w:rPr>
        <w:fldChar w:fldCharType="begin"/>
      </w:r>
      <w:r w:rsidRPr="00D96821">
        <w:rPr>
          <w:sz w:val="22"/>
          <w:szCs w:val="22"/>
        </w:rPr>
        <w:instrText xml:space="preserve"> ADDIN EN.CITE &lt;EndNote&gt;&lt;Cite ExcludeAuth="1"&gt;&lt;Author&gt;Cullity&lt;/Author&gt;&lt;Year&gt;2013&lt;/Year&gt;&lt;RecNum&gt;198&lt;/RecNum&gt;&lt;DisplayText&gt;&amp;quot;The Context-Undermining of Practical Reasons&amp;quot;&lt;/DisplayText&gt;&lt;record&gt;&lt;rec-number&gt;198&lt;/rec-number&gt;&lt;foreign-keys&gt;&lt;key app="EN" db-id="9ratsrwz8wzzspewsdu502wwd2ezesewppe2" timestamp="1443590929"&gt;198&lt;/key&gt;&lt;/foreign-keys&gt;&lt;ref-type name="Journal Article"&gt;17&lt;/ref-type&gt;&lt;contributors&gt;&lt;authors&gt;&lt;author&gt;Cullity, Garrett&lt;/author&gt;&lt;/authors&gt;&lt;/contributors&gt;&lt;titles&gt;&lt;title&gt;The Context-Undermining of Practical Reasons&lt;/title&gt;&lt;secondary-title&gt;Ethics&lt;/secondary-title&gt;&lt;/titles&gt;&lt;periodical&gt;&lt;full-title&gt;Ethics&lt;/full-title&gt;&lt;/periodical&gt;&lt;pages&gt;1-27&lt;/pages&gt;&lt;volume&gt;124&lt;/volume&gt;&lt;dates&gt;&lt;year&gt;2013&lt;/year&gt;&lt;/dates&gt;&lt;urls&gt;&lt;/urls&gt;&lt;/record&gt;&lt;/Cite&gt;&lt;/EndNote&gt;</w:instrText>
      </w:r>
      <w:r w:rsidRPr="00D96821">
        <w:rPr>
          <w:sz w:val="22"/>
          <w:szCs w:val="22"/>
        </w:rPr>
        <w:fldChar w:fldCharType="separate"/>
      </w:r>
      <w:r w:rsidRPr="00D96821">
        <w:rPr>
          <w:noProof/>
          <w:sz w:val="22"/>
          <w:szCs w:val="22"/>
        </w:rPr>
        <w:t>"The Context-Undermining of Practical Reasons"</w:t>
      </w:r>
      <w:r w:rsidRPr="00D96821">
        <w:rPr>
          <w:sz w:val="22"/>
          <w:szCs w:val="22"/>
        </w:rPr>
        <w:fldChar w:fldCharType="end"/>
      </w:r>
      <w:r w:rsidRPr="00D96821">
        <w:rPr>
          <w:sz w:val="22"/>
          <w:szCs w:val="22"/>
        </w:rPr>
        <w:t xml:space="preserve">, Section V, and </w:t>
      </w:r>
      <w:r w:rsidRPr="00D96821">
        <w:rPr>
          <w:sz w:val="22"/>
          <w:szCs w:val="22"/>
        </w:rPr>
        <w:fldChar w:fldCharType="begin"/>
      </w:r>
      <w:r w:rsidRPr="00D96821">
        <w:rPr>
          <w:sz w:val="22"/>
          <w:szCs w:val="22"/>
        </w:rPr>
        <w:instrText xml:space="preserve"> ADDIN EN.CITE &lt;EndNote&gt;&lt;Cite ExcludeAuth="1"&gt;&lt;Author&gt;Cullity&lt;/Author&gt;&lt;Year&gt;2018&lt;/Year&gt;&lt;RecNum&gt;126&lt;/RecNum&gt;&lt;DisplayText&gt;&lt;style face="italic"&gt;Concern, Respect and Cooperation&lt;/style&gt;&lt;/DisplayText&gt;&lt;record&gt;&lt;rec-number&gt;126&lt;/rec-number&gt;&lt;foreign-keys&gt;&lt;key app="EN" db-id="a5ffrdzp85025zevt0ivvtahzzw0ea5fveps" timestamp="1467961731"&gt;126&lt;/key&gt;&lt;/foreign-keys&gt;&lt;ref-type name="Book"&gt;6&lt;/ref-type&gt;&lt;contributors&gt;&lt;authors&gt;&lt;author&gt;Cullity, Garrett&lt;/author&gt;&lt;/authors&gt;&lt;/contributors&gt;&lt;titles&gt;&lt;title&gt;Concern, Respect and Cooperation&lt;/title&gt;&lt;/titles&gt;&lt;dates&gt;&lt;year&gt;2018&lt;/year&gt;&lt;/dates&gt;&lt;pub-location&gt;Oxford&lt;/pub-location&gt;&lt;publisher&gt;Oxford University Press&lt;/publisher&gt;&lt;urls&gt;&lt;/urls&gt;&lt;/record&gt;&lt;/Cite&gt;&lt;/EndNote&gt;</w:instrText>
      </w:r>
      <w:r w:rsidRPr="00D96821">
        <w:rPr>
          <w:sz w:val="22"/>
          <w:szCs w:val="22"/>
        </w:rPr>
        <w:fldChar w:fldCharType="separate"/>
      </w:r>
      <w:r w:rsidRPr="00D96821">
        <w:rPr>
          <w:i/>
          <w:noProof/>
          <w:sz w:val="22"/>
          <w:szCs w:val="22"/>
        </w:rPr>
        <w:t>Concern, Respect and Cooperation</w:t>
      </w:r>
      <w:r w:rsidRPr="00D96821">
        <w:rPr>
          <w:sz w:val="22"/>
          <w:szCs w:val="22"/>
        </w:rPr>
        <w:fldChar w:fldCharType="end"/>
      </w:r>
      <w:r w:rsidRPr="00D96821">
        <w:rPr>
          <w:sz w:val="22"/>
          <w:szCs w:val="22"/>
        </w:rPr>
        <w:t>, Section 6.5.</w:t>
      </w:r>
    </w:p>
  </w:endnote>
  <w:endnote w:id="22">
    <w:p w14:paraId="53F05814" w14:textId="51FC431F" w:rsidR="00C83C65" w:rsidRPr="00D96821" w:rsidRDefault="00C83C65" w:rsidP="00C83C65">
      <w:pPr>
        <w:pStyle w:val="EndnoteText"/>
        <w:rPr>
          <w:sz w:val="22"/>
          <w:szCs w:val="22"/>
        </w:rPr>
      </w:pPr>
      <w:r w:rsidRPr="00D96821">
        <w:rPr>
          <w:rStyle w:val="EndnoteReference"/>
          <w:sz w:val="22"/>
          <w:szCs w:val="22"/>
        </w:rPr>
        <w:endnoteRef/>
      </w:r>
      <w:r w:rsidRPr="00D96821">
        <w:rPr>
          <w:sz w:val="22"/>
          <w:szCs w:val="22"/>
        </w:rPr>
        <w:t xml:space="preserve">  The claim is that in </w:t>
      </w:r>
      <w:r w:rsidRPr="00D96821">
        <w:rPr>
          <w:i/>
          <w:sz w:val="22"/>
          <w:szCs w:val="22"/>
        </w:rPr>
        <w:t xml:space="preserve">this </w:t>
      </w:r>
      <w:r w:rsidRPr="00D96821">
        <w:rPr>
          <w:sz w:val="22"/>
          <w:szCs w:val="22"/>
        </w:rPr>
        <w:t>case, the exclusionary reason could be decisive – not that all military orders must unquestioningly be obeyed</w:t>
      </w:r>
      <w:r w:rsidR="00814C41" w:rsidRPr="00D96821">
        <w:rPr>
          <w:sz w:val="22"/>
          <w:szCs w:val="22"/>
        </w:rPr>
        <w:t>:</w:t>
      </w:r>
      <w:r w:rsidRPr="00D96821">
        <w:rPr>
          <w:sz w:val="22"/>
          <w:szCs w:val="22"/>
        </w:rPr>
        <w:t xml:space="preserve"> see </w:t>
      </w:r>
      <w:r w:rsidRPr="00D96821">
        <w:rPr>
          <w:sz w:val="22"/>
          <w:szCs w:val="22"/>
        </w:rPr>
        <w:fldChar w:fldCharType="begin"/>
      </w:r>
      <w:r w:rsidRPr="00D96821">
        <w:rPr>
          <w:sz w:val="22"/>
          <w:szCs w:val="22"/>
        </w:rPr>
        <w:instrText xml:space="preserve"> ADDIN EN.CITE &lt;EndNote&gt;&lt;Cite&gt;&lt;Author&gt;Raz&lt;/Author&gt;&lt;Year&gt;1999&lt;/Year&gt;&lt;RecNum&gt;190&lt;/RecNum&gt;&lt;DisplayText&gt;Raz, &lt;style face="italic"&gt;Practical Reason and Norms&lt;/style&gt;&lt;/DisplayText&gt;&lt;record&gt;&lt;rec-number&gt;190&lt;/rec-number&gt;&lt;foreign-keys&gt;&lt;key app="EN" db-id="9ratsrwz8wzzspewsdu502wwd2ezesewppe2" timestamp="1443589456"&gt;190&lt;/key&gt;&lt;/foreign-keys&gt;&lt;ref-type name="Book"&gt;6&lt;/ref-type&gt;&lt;contributors&gt;&lt;authors&gt;&lt;author&gt;Raz, Joseph&lt;/author&gt;&lt;/authors&gt;&lt;/contributors&gt;&lt;titles&gt;&lt;title&gt;Practical Reason and Norms&lt;/title&gt;&lt;/titles&gt;&lt;edition&gt;2nd&lt;/edition&gt;&lt;dates&gt;&lt;year&gt;1999&lt;/year&gt;&lt;/dates&gt;&lt;pub-location&gt;Oxford&lt;/pub-location&gt;&lt;publisher&gt;Oxford University Press&lt;/publisher&gt;&lt;urls&gt;&lt;/urls&gt;&lt;/record&gt;&lt;/Cite&gt;&lt;/EndNote&gt;</w:instrText>
      </w:r>
      <w:r w:rsidRPr="00D96821">
        <w:rPr>
          <w:sz w:val="22"/>
          <w:szCs w:val="22"/>
        </w:rPr>
        <w:fldChar w:fldCharType="separate"/>
      </w:r>
      <w:r w:rsidRPr="00D96821">
        <w:rPr>
          <w:noProof/>
          <w:sz w:val="22"/>
          <w:szCs w:val="22"/>
        </w:rPr>
        <w:t xml:space="preserve">Raz, </w:t>
      </w:r>
      <w:r w:rsidRPr="00D96821">
        <w:rPr>
          <w:i/>
          <w:noProof/>
          <w:sz w:val="22"/>
          <w:szCs w:val="22"/>
        </w:rPr>
        <w:t>Practical Reason and Norms</w:t>
      </w:r>
      <w:r w:rsidRPr="00D96821">
        <w:rPr>
          <w:sz w:val="22"/>
          <w:szCs w:val="22"/>
        </w:rPr>
        <w:fldChar w:fldCharType="end"/>
      </w:r>
      <w:r w:rsidRPr="00D96821">
        <w:rPr>
          <w:sz w:val="22"/>
          <w:szCs w:val="22"/>
        </w:rPr>
        <w:t>, p. 38.</w:t>
      </w:r>
    </w:p>
  </w:endnote>
  <w:endnote w:id="23">
    <w:p w14:paraId="064E46FD" w14:textId="5DF16010" w:rsidR="005F1BD8" w:rsidRPr="00D96821" w:rsidRDefault="005F1BD8">
      <w:pPr>
        <w:pStyle w:val="EndnoteText"/>
        <w:rPr>
          <w:sz w:val="22"/>
          <w:szCs w:val="22"/>
        </w:rPr>
      </w:pPr>
      <w:r w:rsidRPr="00D96821">
        <w:rPr>
          <w:rStyle w:val="EndnoteReference"/>
          <w:sz w:val="22"/>
          <w:szCs w:val="22"/>
        </w:rPr>
        <w:endnoteRef/>
      </w:r>
      <w:r w:rsidRPr="00D96821">
        <w:rPr>
          <w:sz w:val="22"/>
          <w:szCs w:val="22"/>
        </w:rPr>
        <w:t xml:space="preserve">  For a fuller development of the concerns that follow, see my </w:t>
      </w:r>
      <w:r w:rsidRPr="00D96821">
        <w:rPr>
          <w:sz w:val="22"/>
          <w:szCs w:val="22"/>
        </w:rPr>
        <w:fldChar w:fldCharType="begin"/>
      </w:r>
      <w:r w:rsidRPr="00D96821">
        <w:rPr>
          <w:sz w:val="22"/>
          <w:szCs w:val="22"/>
        </w:rPr>
        <w:instrText xml:space="preserve"> ADDIN EN.CITE &lt;EndNote&gt;&lt;Cite ExcludeAuth="1"&gt;&lt;Author&gt;Cullity&lt;/Author&gt;&lt;Year&gt;2018&lt;/Year&gt;&lt;RecNum&gt;125&lt;/RecNum&gt;&lt;DisplayText&gt;&amp;quot;Weighing Reasons&amp;quot;&lt;/DisplayText&gt;&lt;record&gt;&lt;rec-number&gt;125&lt;/rec-number&gt;&lt;foreign-keys&gt;&lt;key app="EN" db-id="9ratsrwz8wzzspewsdu502wwd2ezesewppe2" timestamp="1441151547"&gt;125&lt;/key&gt;&lt;/foreign-keys&gt;&lt;ref-type name="Book Section"&gt;5&lt;/ref-type&gt;&lt;contributors&gt;&lt;authors&gt;&lt;author&gt;Cullity, Garrett&lt;/author&gt;&lt;/authors&gt;&lt;secondary-authors&gt;&lt;author&gt;Star, Daniel&lt;/author&gt;&lt;/secondary-authors&gt;&lt;/contributors&gt;&lt;titles&gt;&lt;title&gt;Weighing Reasons&lt;/title&gt;&lt;secondary-title&gt;The Oxford Handbook of Reasons and Normativity&lt;/secondary-title&gt;&lt;/titles&gt;&lt;dates&gt;&lt;year&gt;2018&lt;/year&gt;&lt;/dates&gt;&lt;urls&gt;&lt;/urls&gt;&lt;/record&gt;&lt;/Cite&gt;&lt;/EndNote&gt;</w:instrText>
      </w:r>
      <w:r w:rsidRPr="00D96821">
        <w:rPr>
          <w:sz w:val="22"/>
          <w:szCs w:val="22"/>
        </w:rPr>
        <w:fldChar w:fldCharType="separate"/>
      </w:r>
      <w:r w:rsidRPr="00D96821">
        <w:rPr>
          <w:noProof/>
          <w:sz w:val="22"/>
          <w:szCs w:val="22"/>
        </w:rPr>
        <w:t>"Weighing Reasons"</w:t>
      </w:r>
      <w:r w:rsidRPr="00D96821">
        <w:rPr>
          <w:sz w:val="22"/>
          <w:szCs w:val="22"/>
        </w:rPr>
        <w:fldChar w:fldCharType="end"/>
      </w:r>
      <w:r w:rsidRPr="00D96821">
        <w:rPr>
          <w:sz w:val="22"/>
          <w:szCs w:val="22"/>
        </w:rPr>
        <w:t>, Sect. VII.</w:t>
      </w:r>
    </w:p>
  </w:endnote>
  <w:endnote w:id="24">
    <w:p w14:paraId="609AB8BA" w14:textId="77777777" w:rsidR="005F1BD8" w:rsidRPr="00D96821" w:rsidRDefault="005F1BD8" w:rsidP="00C53C05">
      <w:pPr>
        <w:pStyle w:val="EndnoteText"/>
        <w:tabs>
          <w:tab w:val="left" w:pos="1560"/>
        </w:tabs>
        <w:rPr>
          <w:sz w:val="22"/>
          <w:szCs w:val="22"/>
        </w:rPr>
      </w:pPr>
      <w:r w:rsidRPr="00D96821">
        <w:rPr>
          <w:rStyle w:val="EndnoteReference"/>
          <w:sz w:val="22"/>
          <w:szCs w:val="22"/>
        </w:rPr>
        <w:endnoteRef/>
      </w:r>
      <w:r w:rsidRPr="00D96821">
        <w:rPr>
          <w:sz w:val="22"/>
          <w:szCs w:val="22"/>
        </w:rPr>
        <w:t xml:space="preserve">  </w:t>
      </w:r>
      <w:r w:rsidRPr="00D96821">
        <w:rPr>
          <w:sz w:val="22"/>
          <w:szCs w:val="22"/>
        </w:rPr>
        <w:fldChar w:fldCharType="begin"/>
      </w:r>
      <w:r w:rsidRPr="00D96821">
        <w:rPr>
          <w:sz w:val="22"/>
          <w:szCs w:val="22"/>
        </w:rPr>
        <w:instrText xml:space="preserve"> ADDIN EN.CITE &lt;EndNote&gt;&lt;Cite&gt;&lt;Author&gt;Raz&lt;/Author&gt;&lt;Year&gt;1999&lt;/Year&gt;&lt;RecNum&gt;190&lt;/RecNum&gt;&lt;DisplayText&gt;Raz, &lt;style face="italic"&gt;Practical Reason and Norms&lt;/style&gt;&lt;/DisplayText&gt;&lt;record&gt;&lt;rec-number&gt;190&lt;/rec-number&gt;&lt;foreign-keys&gt;&lt;key app="EN" db-id="9ratsrwz8wzzspewsdu502wwd2ezesewppe2" timestamp="1443589456"&gt;190&lt;/key&gt;&lt;/foreign-keys&gt;&lt;ref-type name="Book"&gt;6&lt;/ref-type&gt;&lt;contributors&gt;&lt;authors&gt;&lt;author&gt;Raz, Joseph&lt;/author&gt;&lt;/authors&gt;&lt;/contributors&gt;&lt;titles&gt;&lt;title&gt;Practical Reason and Norms&lt;/title&gt;&lt;/titles&gt;&lt;edition&gt;2nd&lt;/edition&gt;&lt;dates&gt;&lt;year&gt;1999&lt;/year&gt;&lt;/dates&gt;&lt;pub-location&gt;Oxford&lt;/pub-location&gt;&lt;publisher&gt;Oxford University Press&lt;/publisher&gt;&lt;urls&gt;&lt;/urls&gt;&lt;/record&gt;&lt;/Cite&gt;&lt;/EndNote&gt;</w:instrText>
      </w:r>
      <w:r w:rsidRPr="00D96821">
        <w:rPr>
          <w:sz w:val="22"/>
          <w:szCs w:val="22"/>
        </w:rPr>
        <w:fldChar w:fldCharType="separate"/>
      </w:r>
      <w:r w:rsidRPr="00D96821">
        <w:rPr>
          <w:noProof/>
          <w:sz w:val="22"/>
          <w:szCs w:val="22"/>
        </w:rPr>
        <w:t xml:space="preserve">Raz, </w:t>
      </w:r>
      <w:r w:rsidRPr="00D96821">
        <w:rPr>
          <w:i/>
          <w:noProof/>
          <w:sz w:val="22"/>
          <w:szCs w:val="22"/>
        </w:rPr>
        <w:t>Practical Reason and Norms</w:t>
      </w:r>
      <w:r w:rsidRPr="00D96821">
        <w:rPr>
          <w:sz w:val="22"/>
          <w:szCs w:val="22"/>
        </w:rPr>
        <w:fldChar w:fldCharType="end"/>
      </w:r>
      <w:r w:rsidRPr="00D96821">
        <w:rPr>
          <w:sz w:val="22"/>
          <w:szCs w:val="22"/>
        </w:rPr>
        <w:t>, p.36.</w:t>
      </w:r>
    </w:p>
  </w:endnote>
  <w:endnote w:id="25">
    <w:p w14:paraId="409DC0E5" w14:textId="77777777" w:rsidR="005F1BD8" w:rsidRPr="00D96821" w:rsidRDefault="005F1BD8" w:rsidP="00F26316">
      <w:pPr>
        <w:pStyle w:val="EndnoteText"/>
        <w:tabs>
          <w:tab w:val="left" w:pos="1560"/>
        </w:tabs>
        <w:rPr>
          <w:sz w:val="22"/>
          <w:szCs w:val="22"/>
        </w:rPr>
      </w:pPr>
      <w:r w:rsidRPr="00D96821">
        <w:rPr>
          <w:rStyle w:val="EndnoteReference"/>
          <w:sz w:val="22"/>
          <w:szCs w:val="22"/>
        </w:rPr>
        <w:endnoteRef/>
      </w:r>
      <w:r w:rsidRPr="00D96821">
        <w:rPr>
          <w:sz w:val="22"/>
          <w:szCs w:val="22"/>
        </w:rPr>
        <w:t xml:space="preserve">  </w:t>
      </w:r>
      <w:r w:rsidRPr="00D96821">
        <w:rPr>
          <w:sz w:val="22"/>
          <w:szCs w:val="22"/>
        </w:rPr>
        <w:fldChar w:fldCharType="begin"/>
      </w:r>
      <w:r w:rsidRPr="00D96821">
        <w:rPr>
          <w:sz w:val="22"/>
          <w:szCs w:val="22"/>
        </w:rPr>
        <w:instrText xml:space="preserve"> ADDIN EN.CITE &lt;EndNote&gt;&lt;Cite&gt;&lt;Author&gt;Raz&lt;/Author&gt;&lt;Year&gt;1999&lt;/Year&gt;&lt;RecNum&gt;190&lt;/RecNum&gt;&lt;DisplayText&gt;Raz, &lt;style face="italic"&gt;Practical Reason and Norms&lt;/style&gt;&lt;/DisplayText&gt;&lt;record&gt;&lt;rec-number&gt;190&lt;/rec-number&gt;&lt;foreign-keys&gt;&lt;key app="EN" db-id="9ratsrwz8wzzspewsdu502wwd2ezesewppe2" timestamp="1443589456"&gt;190&lt;/key&gt;&lt;/foreign-keys&gt;&lt;ref-type name="Book"&gt;6&lt;/ref-type&gt;&lt;contributors&gt;&lt;authors&gt;&lt;author&gt;Raz, Joseph&lt;/author&gt;&lt;/authors&gt;&lt;/contributors&gt;&lt;titles&gt;&lt;title&gt;Practical Reason and Norms&lt;/title&gt;&lt;/titles&gt;&lt;edition&gt;2nd&lt;/edition&gt;&lt;dates&gt;&lt;year&gt;1999&lt;/year&gt;&lt;/dates&gt;&lt;pub-location&gt;Oxford&lt;/pub-location&gt;&lt;publisher&gt;Oxford University Press&lt;/publisher&gt;&lt;urls&gt;&lt;/urls&gt;&lt;/record&gt;&lt;/Cite&gt;&lt;/EndNote&gt;</w:instrText>
      </w:r>
      <w:r w:rsidRPr="00D96821">
        <w:rPr>
          <w:sz w:val="22"/>
          <w:szCs w:val="22"/>
        </w:rPr>
        <w:fldChar w:fldCharType="separate"/>
      </w:r>
      <w:r w:rsidRPr="00D96821">
        <w:rPr>
          <w:noProof/>
          <w:sz w:val="22"/>
          <w:szCs w:val="22"/>
        </w:rPr>
        <w:t xml:space="preserve">Raz, </w:t>
      </w:r>
      <w:r w:rsidRPr="00D96821">
        <w:rPr>
          <w:i/>
          <w:noProof/>
          <w:sz w:val="22"/>
          <w:szCs w:val="22"/>
        </w:rPr>
        <w:t>Practical Reason and Norms</w:t>
      </w:r>
      <w:r w:rsidRPr="00D96821">
        <w:rPr>
          <w:sz w:val="22"/>
          <w:szCs w:val="22"/>
        </w:rPr>
        <w:fldChar w:fldCharType="end"/>
      </w:r>
      <w:r w:rsidRPr="00D96821">
        <w:rPr>
          <w:sz w:val="22"/>
          <w:szCs w:val="22"/>
        </w:rPr>
        <w:t>, p.40.</w:t>
      </w:r>
    </w:p>
  </w:endnote>
  <w:endnote w:id="26">
    <w:p w14:paraId="62BDB660" w14:textId="21BF8FDE" w:rsidR="005F1BD8" w:rsidRPr="00D96821" w:rsidRDefault="005F1BD8">
      <w:pPr>
        <w:pStyle w:val="EndnoteText"/>
        <w:rPr>
          <w:sz w:val="22"/>
          <w:szCs w:val="22"/>
        </w:rPr>
      </w:pPr>
      <w:r w:rsidRPr="00D96821">
        <w:rPr>
          <w:rStyle w:val="EndnoteReference"/>
          <w:sz w:val="22"/>
          <w:szCs w:val="22"/>
        </w:rPr>
        <w:endnoteRef/>
      </w:r>
      <w:r w:rsidRPr="00D96821">
        <w:rPr>
          <w:sz w:val="22"/>
          <w:szCs w:val="22"/>
        </w:rPr>
        <w:t xml:space="preserve">  </w:t>
      </w:r>
      <w:r w:rsidRPr="00D96821">
        <w:rPr>
          <w:sz w:val="22"/>
          <w:szCs w:val="22"/>
        </w:rPr>
        <w:fldChar w:fldCharType="begin"/>
      </w:r>
      <w:r w:rsidRPr="00D96821">
        <w:rPr>
          <w:sz w:val="22"/>
          <w:szCs w:val="22"/>
        </w:rPr>
        <w:instrText xml:space="preserve"> ADDIN EN.CITE &lt;EndNote&gt;&lt;Cite&gt;&lt;Author&gt;Raz&lt;/Author&gt;&lt;Year&gt;1999&lt;/Year&gt;&lt;RecNum&gt;190&lt;/RecNum&gt;&lt;DisplayText&gt;Raz, &lt;style face="italic"&gt;Practical Reason and Norms&lt;/style&gt;&lt;/DisplayText&gt;&lt;record&gt;&lt;rec-number&gt;190&lt;/rec-number&gt;&lt;foreign-keys&gt;&lt;key app="EN" db-id="9ratsrwz8wzzspewsdu502wwd2ezesewppe2" timestamp="1443589456"&gt;190&lt;/key&gt;&lt;/foreign-keys&gt;&lt;ref-type name="Book"&gt;6&lt;/ref-type&gt;&lt;contributors&gt;&lt;authors&gt;&lt;author&gt;Raz, Joseph&lt;/author&gt;&lt;/authors&gt;&lt;/contributors&gt;&lt;titles&gt;&lt;title&gt;Practical Reason and Norms&lt;/title&gt;&lt;/titles&gt;&lt;edition&gt;2nd&lt;/edition&gt;&lt;dates&gt;&lt;year&gt;1999&lt;/year&gt;&lt;/dates&gt;&lt;pub-location&gt;Oxford&lt;/pub-location&gt;&lt;publisher&gt;Oxford University Press&lt;/publisher&gt;&lt;urls&gt;&lt;/urls&gt;&lt;/record&gt;&lt;/Cite&gt;&lt;/EndNote&gt;</w:instrText>
      </w:r>
      <w:r w:rsidRPr="00D96821">
        <w:rPr>
          <w:sz w:val="22"/>
          <w:szCs w:val="22"/>
        </w:rPr>
        <w:fldChar w:fldCharType="separate"/>
      </w:r>
      <w:r w:rsidRPr="00D96821">
        <w:rPr>
          <w:noProof/>
          <w:sz w:val="22"/>
          <w:szCs w:val="22"/>
        </w:rPr>
        <w:t xml:space="preserve">Raz, </w:t>
      </w:r>
      <w:r w:rsidRPr="00D96821">
        <w:rPr>
          <w:i/>
          <w:noProof/>
          <w:sz w:val="22"/>
          <w:szCs w:val="22"/>
        </w:rPr>
        <w:t>Practical Reason and Norms</w:t>
      </w:r>
      <w:r w:rsidRPr="00D96821">
        <w:rPr>
          <w:sz w:val="22"/>
          <w:szCs w:val="22"/>
        </w:rPr>
        <w:fldChar w:fldCharType="end"/>
      </w:r>
      <w:r w:rsidRPr="00D96821">
        <w:rPr>
          <w:sz w:val="22"/>
          <w:szCs w:val="22"/>
        </w:rPr>
        <w:t>, pp. 42-5.</w:t>
      </w:r>
    </w:p>
  </w:endnote>
  <w:endnote w:id="27">
    <w:p w14:paraId="066A0F5D" w14:textId="2722187F" w:rsidR="005F1BD8" w:rsidRPr="00D96821" w:rsidRDefault="005F1BD8">
      <w:pPr>
        <w:pStyle w:val="EndnoteText"/>
        <w:rPr>
          <w:sz w:val="22"/>
          <w:szCs w:val="22"/>
        </w:rPr>
      </w:pPr>
      <w:r w:rsidRPr="00D96821">
        <w:rPr>
          <w:rStyle w:val="EndnoteReference"/>
          <w:sz w:val="22"/>
          <w:szCs w:val="22"/>
        </w:rPr>
        <w:endnoteRef/>
      </w:r>
      <w:r w:rsidRPr="00D96821">
        <w:rPr>
          <w:sz w:val="22"/>
          <w:szCs w:val="22"/>
        </w:rPr>
        <w:t xml:space="preserve">  It might be replied, “We have a basic concept of how strongly a fact counts in favour of an action or against. The inconvenience counts more strongly against taking the van, in this basic sense.” But then the companion worry is: What is the force of saying that Jeremy </w:t>
      </w:r>
      <w:r w:rsidRPr="00D96821">
        <w:rPr>
          <w:i/>
          <w:sz w:val="22"/>
          <w:szCs w:val="22"/>
        </w:rPr>
        <w:t>ought</w:t>
      </w:r>
      <w:r w:rsidRPr="00D96821">
        <w:rPr>
          <w:sz w:val="22"/>
          <w:szCs w:val="22"/>
        </w:rPr>
        <w:t xml:space="preserve"> to take it, if all things (including the order) considered, the reasons against doing so are stronger?</w:t>
      </w:r>
    </w:p>
  </w:endnote>
  <w:endnote w:id="28">
    <w:p w14:paraId="1F6B1016" w14:textId="51236245" w:rsidR="00B91866" w:rsidRDefault="00B91866">
      <w:pPr>
        <w:pStyle w:val="EndnoteText"/>
      </w:pPr>
      <w:r>
        <w:rPr>
          <w:rStyle w:val="EndnoteReference"/>
        </w:rPr>
        <w:endnoteRef/>
      </w:r>
      <w:r>
        <w:t xml:space="preserve">  </w:t>
      </w:r>
      <w:r w:rsidRPr="00D96821">
        <w:rPr>
          <w:sz w:val="22"/>
          <w:szCs w:val="22"/>
        </w:rPr>
        <w:t xml:space="preserve"> </w:t>
      </w:r>
      <w:r w:rsidRPr="00D96821">
        <w:rPr>
          <w:sz w:val="22"/>
          <w:szCs w:val="22"/>
        </w:rPr>
        <w:fldChar w:fldCharType="begin"/>
      </w:r>
      <w:r w:rsidRPr="00D96821">
        <w:rPr>
          <w:sz w:val="22"/>
          <w:szCs w:val="22"/>
        </w:rPr>
        <w:instrText xml:space="preserve"> ADDIN EN.CITE &lt;EndNote&gt;&lt;Cite&gt;&lt;Author&gt;Raz&lt;/Author&gt;&lt;Year&gt;1999&lt;/Year&gt;&lt;RecNum&gt;190&lt;/RecNum&gt;&lt;DisplayText&gt;Raz, &lt;style face="italic"&gt;Practical Reason and Norms&lt;/style&gt;&lt;/DisplayText&gt;&lt;record&gt;&lt;rec-number&gt;190&lt;/rec-number&gt;&lt;foreign-keys&gt;&lt;key app="EN" db-id="9ratsrwz8wzzspewsdu502wwd2ezesewppe2" timestamp="1443589456"&gt;190&lt;/key&gt;&lt;/foreign-keys&gt;&lt;ref-type name="Book"&gt;6&lt;/ref-type&gt;&lt;contributors&gt;&lt;authors&gt;&lt;author&gt;Raz, Joseph&lt;/author&gt;&lt;/authors&gt;&lt;/contributors&gt;&lt;titles&gt;&lt;title&gt;Practical Reason and Norms&lt;/title&gt;&lt;/titles&gt;&lt;edition&gt;2nd&lt;/edition&gt;&lt;dates&gt;&lt;year&gt;1999&lt;/year&gt;&lt;/dates&gt;&lt;pub-location&gt;Oxford&lt;/pub-location&gt;&lt;publisher&gt;Oxford University Press&lt;/publisher&gt;&lt;urls&gt;&lt;/urls&gt;&lt;/record&gt;&lt;/Cite&gt;&lt;/EndNote&gt;</w:instrText>
      </w:r>
      <w:r w:rsidRPr="00D96821">
        <w:rPr>
          <w:sz w:val="22"/>
          <w:szCs w:val="22"/>
        </w:rPr>
        <w:fldChar w:fldCharType="separate"/>
      </w:r>
      <w:r w:rsidRPr="00D96821">
        <w:rPr>
          <w:noProof/>
          <w:sz w:val="22"/>
          <w:szCs w:val="22"/>
        </w:rPr>
        <w:t xml:space="preserve">Raz, </w:t>
      </w:r>
      <w:r w:rsidRPr="00D96821">
        <w:rPr>
          <w:i/>
          <w:noProof/>
          <w:sz w:val="22"/>
          <w:szCs w:val="22"/>
        </w:rPr>
        <w:t>Practical Reason and Norms</w:t>
      </w:r>
      <w:r w:rsidRPr="00D96821">
        <w:rPr>
          <w:sz w:val="22"/>
          <w:szCs w:val="22"/>
        </w:rPr>
        <w:fldChar w:fldCharType="end"/>
      </w:r>
      <w:r>
        <w:rPr>
          <w:sz w:val="22"/>
          <w:szCs w:val="22"/>
        </w:rPr>
        <w:t>, p. 42</w:t>
      </w:r>
      <w:r w:rsidRPr="00D96821">
        <w:rPr>
          <w:sz w:val="22"/>
          <w:szCs w:val="22"/>
        </w:rPr>
        <w:t>.</w:t>
      </w:r>
    </w:p>
  </w:endnote>
  <w:endnote w:id="29">
    <w:p w14:paraId="3DFA77EC" w14:textId="01200BAE" w:rsidR="005F1BD8" w:rsidRPr="00D96821" w:rsidRDefault="005F1BD8">
      <w:pPr>
        <w:pStyle w:val="EndnoteText"/>
        <w:rPr>
          <w:sz w:val="22"/>
          <w:szCs w:val="22"/>
        </w:rPr>
      </w:pPr>
      <w:r w:rsidRPr="00D96821">
        <w:rPr>
          <w:rStyle w:val="EndnoteReference"/>
          <w:sz w:val="22"/>
          <w:szCs w:val="22"/>
        </w:rPr>
        <w:endnoteRef/>
      </w:r>
      <w:r w:rsidRPr="00D96821">
        <w:rPr>
          <w:sz w:val="22"/>
          <w:szCs w:val="22"/>
        </w:rPr>
        <w:t xml:space="preserve">  And to refuse to obey them if they are outrageous: see note [2</w:t>
      </w:r>
      <w:r w:rsidR="008813CA">
        <w:rPr>
          <w:sz w:val="22"/>
          <w:szCs w:val="22"/>
        </w:rPr>
        <w:t>2</w:t>
      </w:r>
      <w:r w:rsidRPr="00D96821">
        <w:rPr>
          <w:sz w:val="22"/>
          <w:szCs w:val="22"/>
        </w:rPr>
        <w:t>].</w:t>
      </w:r>
    </w:p>
  </w:endnote>
  <w:endnote w:id="30">
    <w:p w14:paraId="5842C099" w14:textId="46415D69" w:rsidR="005F1BD8" w:rsidRPr="00D96821" w:rsidRDefault="005F1BD8" w:rsidP="007D49F7">
      <w:pPr>
        <w:pStyle w:val="EndnoteText"/>
        <w:rPr>
          <w:sz w:val="22"/>
          <w:szCs w:val="22"/>
        </w:rPr>
      </w:pPr>
      <w:r w:rsidRPr="00D96821">
        <w:rPr>
          <w:rStyle w:val="EndnoteReference"/>
          <w:sz w:val="22"/>
          <w:szCs w:val="22"/>
        </w:rPr>
        <w:endnoteRef/>
      </w:r>
      <w:r w:rsidRPr="00D96821">
        <w:rPr>
          <w:sz w:val="22"/>
          <w:szCs w:val="22"/>
        </w:rPr>
        <w:t xml:space="preserve">  </w:t>
      </w:r>
      <w:r w:rsidRPr="00D96821">
        <w:rPr>
          <w:sz w:val="22"/>
          <w:szCs w:val="22"/>
        </w:rPr>
        <w:fldChar w:fldCharType="begin"/>
      </w:r>
      <w:r w:rsidRPr="00D96821">
        <w:rPr>
          <w:sz w:val="22"/>
          <w:szCs w:val="22"/>
        </w:rPr>
        <w:instrText xml:space="preserve"> ADDIN EN.CITE &lt;EndNote&gt;&lt;Cite&gt;&lt;Author&gt;Raz&lt;/Author&gt;&lt;Year&gt;1999&lt;/Year&gt;&lt;RecNum&gt;190&lt;/RecNum&gt;&lt;DisplayText&gt;Raz, &lt;style face="italic"&gt;Practical Reason and Norms&lt;/style&gt;&lt;/DisplayText&gt;&lt;record&gt;&lt;rec-number&gt;190&lt;/rec-number&gt;&lt;foreign-keys&gt;&lt;key app="EN" db-id="9ratsrwz8wzzspewsdu502wwd2ezesewppe2" timestamp="1443589456"&gt;190&lt;/key&gt;&lt;/foreign-keys&gt;&lt;ref-type name="Book"&gt;6&lt;/ref-type&gt;&lt;contributors&gt;&lt;authors&gt;&lt;author&gt;Raz, Joseph&lt;/author&gt;&lt;/authors&gt;&lt;/contributors&gt;&lt;titles&gt;&lt;title&gt;Practical Reason and Norms&lt;/title&gt;&lt;/titles&gt;&lt;edition&gt;2nd&lt;/edition&gt;&lt;dates&gt;&lt;year&gt;1999&lt;/year&gt;&lt;/dates&gt;&lt;pub-location&gt;Oxford&lt;/pub-location&gt;&lt;publisher&gt;Oxford University Press&lt;/publisher&gt;&lt;urls&gt;&lt;/urls&gt;&lt;/record&gt;&lt;/Cite&gt;&lt;/EndNote&gt;</w:instrText>
      </w:r>
      <w:r w:rsidRPr="00D96821">
        <w:rPr>
          <w:sz w:val="22"/>
          <w:szCs w:val="22"/>
        </w:rPr>
        <w:fldChar w:fldCharType="separate"/>
      </w:r>
      <w:r w:rsidRPr="00D96821">
        <w:rPr>
          <w:noProof/>
          <w:sz w:val="22"/>
          <w:szCs w:val="22"/>
        </w:rPr>
        <w:t xml:space="preserve">Raz, </w:t>
      </w:r>
      <w:r w:rsidRPr="00D96821">
        <w:rPr>
          <w:i/>
          <w:noProof/>
          <w:sz w:val="22"/>
          <w:szCs w:val="22"/>
        </w:rPr>
        <w:t>Practical Reason and Norms</w:t>
      </w:r>
      <w:r w:rsidRPr="00D96821">
        <w:rPr>
          <w:sz w:val="22"/>
          <w:szCs w:val="22"/>
        </w:rPr>
        <w:fldChar w:fldCharType="end"/>
      </w:r>
      <w:r w:rsidRPr="00D96821">
        <w:rPr>
          <w:sz w:val="22"/>
          <w:szCs w:val="22"/>
        </w:rPr>
        <w:t>, p. 39.</w:t>
      </w:r>
    </w:p>
  </w:endnote>
  <w:endnote w:id="31">
    <w:p w14:paraId="4DE9A647" w14:textId="13D49E54" w:rsidR="005F1BD8" w:rsidRPr="00D96821" w:rsidRDefault="005F1BD8">
      <w:pPr>
        <w:pStyle w:val="EndnoteText"/>
        <w:rPr>
          <w:sz w:val="22"/>
          <w:szCs w:val="22"/>
        </w:rPr>
      </w:pPr>
      <w:r w:rsidRPr="00D96821">
        <w:rPr>
          <w:rStyle w:val="EndnoteReference"/>
          <w:sz w:val="22"/>
          <w:szCs w:val="22"/>
        </w:rPr>
        <w:endnoteRef/>
      </w:r>
      <w:r w:rsidRPr="00D96821">
        <w:rPr>
          <w:sz w:val="22"/>
          <w:szCs w:val="22"/>
        </w:rPr>
        <w:t xml:space="preserve">  Raz disagrees with this: see </w:t>
      </w:r>
      <w:r w:rsidRPr="00D96821">
        <w:rPr>
          <w:sz w:val="22"/>
          <w:szCs w:val="22"/>
        </w:rPr>
        <w:fldChar w:fldCharType="begin"/>
      </w:r>
      <w:r w:rsidRPr="00D96821">
        <w:rPr>
          <w:sz w:val="22"/>
          <w:szCs w:val="22"/>
        </w:rPr>
        <w:instrText xml:space="preserve"> ADDIN EN.CITE &lt;EndNote&gt;&lt;Cite ExcludeAuth="1"&gt;&lt;Author&gt;Raz&lt;/Author&gt;&lt;Year&gt;1999&lt;/Year&gt;&lt;RecNum&gt;190&lt;/RecNum&gt;&lt;DisplayText&gt;&lt;style face="italic"&gt;Practical Reason and Norms&lt;/style&gt;&lt;/DisplayText&gt;&lt;record&gt;&lt;rec-number&gt;190&lt;/rec-number&gt;&lt;foreign-keys&gt;&lt;key app="EN" db-id="9ratsrwz8wzzspewsdu502wwd2ezesewppe2" timestamp="1443589456"&gt;190&lt;/key&gt;&lt;/foreign-keys&gt;&lt;ref-type name="Book"&gt;6&lt;/ref-type&gt;&lt;contributors&gt;&lt;authors&gt;&lt;author&gt;Raz, Joseph&lt;/author&gt;&lt;/authors&gt;&lt;/contributors&gt;&lt;titles&gt;&lt;title&gt;Practical Reason and Norms&lt;/title&gt;&lt;/titles&gt;&lt;edition&gt;2nd&lt;/edition&gt;&lt;dates&gt;&lt;year&gt;1999&lt;/year&gt;&lt;/dates&gt;&lt;pub-location&gt;Oxford&lt;/pub-location&gt;&lt;publisher&gt;Oxford University Press&lt;/publisher&gt;&lt;urls&gt;&lt;/urls&gt;&lt;/record&gt;&lt;/Cite&gt;&lt;/EndNote&gt;</w:instrText>
      </w:r>
      <w:r w:rsidRPr="00D96821">
        <w:rPr>
          <w:sz w:val="22"/>
          <w:szCs w:val="22"/>
        </w:rPr>
        <w:fldChar w:fldCharType="separate"/>
      </w:r>
      <w:r w:rsidRPr="00D96821">
        <w:rPr>
          <w:i/>
          <w:noProof/>
          <w:sz w:val="22"/>
          <w:szCs w:val="22"/>
        </w:rPr>
        <w:t>Practical Reason and Norms</w:t>
      </w:r>
      <w:r w:rsidRPr="00D96821">
        <w:rPr>
          <w:sz w:val="22"/>
          <w:szCs w:val="22"/>
        </w:rPr>
        <w:fldChar w:fldCharType="end"/>
      </w:r>
      <w:r w:rsidRPr="00D96821">
        <w:rPr>
          <w:sz w:val="22"/>
          <w:szCs w:val="22"/>
        </w:rPr>
        <w:t>, p. 186.</w:t>
      </w:r>
    </w:p>
  </w:endnote>
  <w:endnote w:id="32">
    <w:p w14:paraId="11A5E01B" w14:textId="47C3F0AC" w:rsidR="005F1BD8" w:rsidRPr="00D96821" w:rsidRDefault="005F1BD8">
      <w:pPr>
        <w:pStyle w:val="EndnoteText"/>
        <w:rPr>
          <w:sz w:val="22"/>
          <w:szCs w:val="22"/>
        </w:rPr>
      </w:pPr>
      <w:r w:rsidRPr="00D96821">
        <w:rPr>
          <w:rStyle w:val="EndnoteReference"/>
          <w:sz w:val="22"/>
          <w:szCs w:val="22"/>
        </w:rPr>
        <w:endnoteRef/>
      </w:r>
      <w:r w:rsidRPr="00D96821">
        <w:rPr>
          <w:sz w:val="22"/>
          <w:szCs w:val="22"/>
        </w:rPr>
        <w:t xml:space="preserve">  For an overview, see </w:t>
      </w:r>
      <w:r w:rsidRPr="00D96821">
        <w:rPr>
          <w:sz w:val="22"/>
          <w:szCs w:val="22"/>
        </w:rPr>
        <w:fldChar w:fldCharType="begin"/>
      </w:r>
      <w:r w:rsidRPr="00D96821">
        <w:rPr>
          <w:sz w:val="22"/>
          <w:szCs w:val="22"/>
        </w:rPr>
        <w:instrText xml:space="preserve"> ADDIN EN.CITE &lt;EndNote&gt;&lt;Cite&gt;&lt;Author&gt;Rhodes&lt;/Author&gt;&lt;Year&gt;2007&lt;/Year&gt;&lt;RecNum&gt;158&lt;/RecNum&gt;&lt;DisplayText&gt;Rosamond Rhodes, &amp;quot;The Professional Responsibilities of Medicine&amp;quot;&lt;/DisplayText&gt;&lt;record&gt;&lt;rec-number&gt;158&lt;/rec-number&gt;&lt;foreign-keys&gt;&lt;key app="EN" db-id="a5ffrdzp85025zevt0ivvtahzzw0ea5fveps" timestamp="1530589817"&gt;158&lt;/key&gt;&lt;/foreign-keys&gt;&lt;ref-type name="Book Section"&gt;5&lt;/ref-type&gt;&lt;contributors&gt;&lt;authors&gt;&lt;author&gt;Rhodes, Rosamond&lt;/author&gt;&lt;/authors&gt;&lt;secondary-authors&gt;&lt;author&gt;Rhodes, Rosamond&lt;/author&gt;&lt;author&gt;Francis, Leslie P.&lt;/author&gt;&lt;author&gt;Silvers, Anita&lt;/author&gt;&lt;/secondary-authors&gt;&lt;/contributors&gt;&lt;titles&gt;&lt;title&gt;The Professional Responsibilities of Medicine&lt;/title&gt;&lt;secondary-title&gt;The Blackwell Guide to Medical Ethics&lt;/secondary-title&gt;&lt;/titles&gt;&lt;pages&gt;71-87&lt;/pages&gt;&lt;edition&gt;2nd&lt;/edition&gt;&lt;dates&gt;&lt;year&gt;2007&lt;/year&gt;&lt;/dates&gt;&lt;pub-location&gt;Oxford&lt;/pub-location&gt;&lt;publisher&gt;Blackwell&lt;/publisher&gt;&lt;urls&gt;&lt;/urls&gt;&lt;/record&gt;&lt;/Cite&gt;&lt;/EndNote&gt;</w:instrText>
      </w:r>
      <w:r w:rsidRPr="00D96821">
        <w:rPr>
          <w:sz w:val="22"/>
          <w:szCs w:val="22"/>
        </w:rPr>
        <w:fldChar w:fldCharType="separate"/>
      </w:r>
      <w:r w:rsidRPr="00D96821">
        <w:rPr>
          <w:noProof/>
          <w:sz w:val="22"/>
          <w:szCs w:val="22"/>
        </w:rPr>
        <w:t>Rosamond Rhodes, "The Professional Responsibilities of Medicine"</w:t>
      </w:r>
      <w:r w:rsidRPr="00D96821">
        <w:rPr>
          <w:sz w:val="22"/>
          <w:szCs w:val="22"/>
        </w:rPr>
        <w:fldChar w:fldCharType="end"/>
      </w:r>
      <w:r w:rsidRPr="00D96821">
        <w:rPr>
          <w:sz w:val="22"/>
          <w:szCs w:val="22"/>
        </w:rPr>
        <w:t>.</w:t>
      </w:r>
    </w:p>
  </w:endnote>
  <w:endnote w:id="33">
    <w:p w14:paraId="1E9BAA25" w14:textId="24AE286A" w:rsidR="005F1BD8" w:rsidRPr="00D96821" w:rsidRDefault="005F1BD8">
      <w:pPr>
        <w:pStyle w:val="EndnoteText"/>
        <w:rPr>
          <w:sz w:val="22"/>
          <w:szCs w:val="22"/>
        </w:rPr>
      </w:pPr>
      <w:r w:rsidRPr="00D96821">
        <w:rPr>
          <w:rStyle w:val="EndnoteReference"/>
          <w:sz w:val="22"/>
          <w:szCs w:val="22"/>
        </w:rPr>
        <w:endnoteRef/>
      </w:r>
      <w:r w:rsidRPr="00D96821">
        <w:rPr>
          <w:sz w:val="22"/>
          <w:szCs w:val="22"/>
        </w:rPr>
        <w:t xml:space="preserve">  This is consistent with thinking that you can retain your duties as a physician towards patients who are also research subjects: for discussion, see </w:t>
      </w:r>
      <w:r w:rsidRPr="00D96821">
        <w:rPr>
          <w:sz w:val="22"/>
          <w:szCs w:val="22"/>
        </w:rPr>
        <w:fldChar w:fldCharType="begin"/>
      </w:r>
      <w:r w:rsidRPr="00D96821">
        <w:rPr>
          <w:sz w:val="22"/>
          <w:szCs w:val="22"/>
        </w:rPr>
        <w:instrText xml:space="preserve"> ADDIN EN.CITE &lt;EndNote&gt;&lt;Cite&gt;&lt;Author&gt;Bernabe&lt;/Author&gt;&lt;Year&gt;2014&lt;/Year&gt;&lt;RecNum&gt;152&lt;/RecNum&gt;&lt;DisplayText&gt;Rosemarie D.L.C. Bernabe, et al., &amp;quot;The Fiduciary Obligation of the Physician-Researcher in Phase Iv Trials&amp;quot;&lt;/DisplayText&gt;&lt;record&gt;&lt;rec-number&gt;152&lt;/rec-number&gt;&lt;foreign-keys&gt;&lt;key app="EN" db-id="a5ffrdzp85025zevt0ivvtahzzw0ea5fveps" timestamp="1530535267"&gt;152&lt;/key&gt;&lt;/foreign-keys&gt;&lt;ref-type name="Journal Article"&gt;17&lt;/ref-type&gt;&lt;contributors&gt;&lt;authors&gt;&lt;author&gt;Bernabe, Rosemarie D.L.C.&lt;/author&gt;&lt;author&gt;van Thiel, Ghislaine J.M.W.&lt;/author&gt;&lt;author&gt;Raaijmakers, Jan A.M.&lt;/author&gt;&lt;author&gt;van Delden, Johannes J.M.&lt;/author&gt;&lt;/authors&gt;&lt;/contributors&gt;&lt;titles&gt;&lt;title&gt;The Fiduciary Obligation of the Physician-Researcher in Phase IV Trials&lt;/title&gt;&lt;secondary-title&gt;BMC Medical Ethics&lt;/secondary-title&gt;&lt;/titles&gt;&lt;periodical&gt;&lt;full-title&gt;BMC Medical Ethics&lt;/full-title&gt;&lt;/periodical&gt;&lt;volume&gt;15: 11&lt;/volume&gt;&lt;dates&gt;&lt;year&gt;2014&lt;/year&gt;&lt;/dates&gt;&lt;urls&gt;&lt;/urls&gt;&lt;/record&gt;&lt;/Cite&gt;&lt;/EndNote&gt;</w:instrText>
      </w:r>
      <w:r w:rsidRPr="00D96821">
        <w:rPr>
          <w:sz w:val="22"/>
          <w:szCs w:val="22"/>
        </w:rPr>
        <w:fldChar w:fldCharType="separate"/>
      </w:r>
      <w:r w:rsidRPr="00D96821">
        <w:rPr>
          <w:noProof/>
          <w:sz w:val="22"/>
          <w:szCs w:val="22"/>
        </w:rPr>
        <w:t>Rosemarie D.L.C. Bernabe, et al., "The Fiduciary Obligation of the Physician-Researcher in Phase Iv Trials"</w:t>
      </w:r>
      <w:r w:rsidRPr="00D96821">
        <w:rPr>
          <w:sz w:val="22"/>
          <w:szCs w:val="22"/>
        </w:rPr>
        <w:fldChar w:fldCharType="end"/>
      </w:r>
      <w:r w:rsidRPr="00D96821">
        <w:rPr>
          <w:sz w:val="22"/>
          <w:szCs w:val="22"/>
        </w:rPr>
        <w:t>.</w:t>
      </w:r>
    </w:p>
  </w:endnote>
  <w:endnote w:id="34">
    <w:p w14:paraId="6650F5DD" w14:textId="1A3CCD44" w:rsidR="005F1BD8" w:rsidRPr="00D96821" w:rsidRDefault="005F1BD8">
      <w:pPr>
        <w:pStyle w:val="EndnoteText"/>
        <w:rPr>
          <w:sz w:val="22"/>
          <w:szCs w:val="22"/>
        </w:rPr>
      </w:pPr>
      <w:r w:rsidRPr="00D96821">
        <w:rPr>
          <w:rStyle w:val="EndnoteReference"/>
          <w:sz w:val="22"/>
          <w:szCs w:val="22"/>
        </w:rPr>
        <w:endnoteRef/>
      </w:r>
      <w:r w:rsidRPr="00D96821">
        <w:rPr>
          <w:sz w:val="22"/>
          <w:szCs w:val="22"/>
        </w:rPr>
        <w:t xml:space="preserve">  See </w:t>
      </w:r>
      <w:r w:rsidRPr="00D96821">
        <w:rPr>
          <w:sz w:val="22"/>
          <w:szCs w:val="22"/>
        </w:rPr>
        <w:fldChar w:fldCharType="begin"/>
      </w:r>
      <w:r w:rsidRPr="00D96821">
        <w:rPr>
          <w:sz w:val="22"/>
          <w:szCs w:val="22"/>
        </w:rPr>
        <w:instrText xml:space="preserve"> ADDIN EN.CITE &lt;EndNote&gt;&lt;Cite&gt;&lt;Author&gt;Caldero&lt;/Author&gt;&lt;Year&gt;2018&lt;/Year&gt;&lt;RecNum&gt;151&lt;/RecNum&gt;&lt;DisplayText&gt;Michael A. Caldero, et al., &lt;style face="italic"&gt;Police Ethics: The Corruption of Noble Cause&lt;/style&gt;&lt;/DisplayText&gt;&lt;record&gt;&lt;rec-number&gt;151&lt;/rec-number&gt;&lt;foreign-keys&gt;&lt;key app="EN" db-id="a5ffrdzp85025zevt0ivvtahzzw0ea5fveps" timestamp="1530190833"&gt;151&lt;/key&gt;&lt;/foreign-keys&gt;&lt;ref-type name="Book"&gt;6&lt;/ref-type&gt;&lt;contributors&gt;&lt;authors&gt;&lt;author&gt;Caldero, Michael A.&lt;/author&gt;&lt;author&gt;Dailey, Jeffrey D.&lt;/author&gt;&lt;author&gt;Withrow, Brian L.&lt;/author&gt;&lt;/authors&gt;&lt;/contributors&gt;&lt;titles&gt;&lt;title&gt;Police Ethics: The Corruption of Noble Cause&lt;/title&gt;&lt;/titles&gt;&lt;edition&gt;4th&lt;/edition&gt;&lt;dates&gt;&lt;year&gt;2018&lt;/year&gt;&lt;/dates&gt;&lt;pub-location&gt;New York&lt;/pub-location&gt;&lt;publisher&gt;Routledge&lt;/publisher&gt;&lt;urls&gt;&lt;/urls&gt;&lt;/record&gt;&lt;/Cite&gt;&lt;/EndNote&gt;</w:instrText>
      </w:r>
      <w:r w:rsidRPr="00D96821">
        <w:rPr>
          <w:sz w:val="22"/>
          <w:szCs w:val="22"/>
        </w:rPr>
        <w:fldChar w:fldCharType="separate"/>
      </w:r>
      <w:r w:rsidRPr="00D96821">
        <w:rPr>
          <w:noProof/>
          <w:sz w:val="22"/>
          <w:szCs w:val="22"/>
        </w:rPr>
        <w:t xml:space="preserve">Michael A. Caldero, et al., </w:t>
      </w:r>
      <w:r w:rsidRPr="00D96821">
        <w:rPr>
          <w:i/>
          <w:noProof/>
          <w:sz w:val="22"/>
          <w:szCs w:val="22"/>
        </w:rPr>
        <w:t>Police Ethics: The Corruption of Noble Cause</w:t>
      </w:r>
      <w:r w:rsidRPr="00D96821">
        <w:rPr>
          <w:sz w:val="22"/>
          <w:szCs w:val="22"/>
        </w:rPr>
        <w:fldChar w:fldCharType="end"/>
      </w:r>
      <w:r w:rsidRPr="00D96821">
        <w:rPr>
          <w:sz w:val="22"/>
          <w:szCs w:val="22"/>
        </w:rPr>
        <w:t>.</w:t>
      </w:r>
    </w:p>
  </w:endnote>
  <w:endnote w:id="35">
    <w:p w14:paraId="32F469B3" w14:textId="77777777" w:rsidR="005F1BD8" w:rsidRPr="00D96821" w:rsidRDefault="005F1BD8" w:rsidP="002370C7">
      <w:pPr>
        <w:pStyle w:val="EndnoteText"/>
        <w:tabs>
          <w:tab w:val="left" w:pos="1560"/>
        </w:tabs>
        <w:rPr>
          <w:sz w:val="22"/>
          <w:szCs w:val="22"/>
        </w:rPr>
      </w:pPr>
      <w:r w:rsidRPr="00D96821">
        <w:rPr>
          <w:rStyle w:val="EndnoteReference"/>
          <w:sz w:val="22"/>
          <w:szCs w:val="22"/>
        </w:rPr>
        <w:endnoteRef/>
      </w:r>
      <w:r w:rsidRPr="00D96821">
        <w:rPr>
          <w:sz w:val="22"/>
          <w:szCs w:val="22"/>
        </w:rPr>
        <w:t xml:space="preserve"> Odd cases are possible in which I should deliberate about something even though it is not a reason. If thinking of sweet food as toxic is the only effective way of preventing myself from overeating, then perhaps that is what I should do. But professional life is not usually like that.</w:t>
      </w:r>
    </w:p>
  </w:endnote>
  <w:endnote w:id="36">
    <w:p w14:paraId="2EFD1D93" w14:textId="21882E56" w:rsidR="00D96821" w:rsidRDefault="00D96821">
      <w:pPr>
        <w:pStyle w:val="EndnoteText"/>
      </w:pPr>
      <w:r w:rsidRPr="00D96821">
        <w:rPr>
          <w:rStyle w:val="EndnoteReference"/>
          <w:sz w:val="22"/>
          <w:szCs w:val="22"/>
        </w:rPr>
        <w:endnoteRef/>
      </w:r>
      <w:r w:rsidRPr="00D96821">
        <w:rPr>
          <w:sz w:val="22"/>
          <w:szCs w:val="22"/>
        </w:rPr>
        <w:t xml:space="preserve">  This </w:t>
      </w:r>
      <w:r w:rsidR="004A4480">
        <w:rPr>
          <w:sz w:val="22"/>
          <w:szCs w:val="22"/>
        </w:rPr>
        <w:t>essay</w:t>
      </w:r>
      <w:r w:rsidRPr="00D96821">
        <w:rPr>
          <w:sz w:val="22"/>
          <w:szCs w:val="22"/>
        </w:rPr>
        <w:t xml:space="preserve"> has benefited greatly from written </w:t>
      </w:r>
      <w:r>
        <w:rPr>
          <w:sz w:val="22"/>
          <w:szCs w:val="22"/>
        </w:rPr>
        <w:t>comments from Christine Swanton</w:t>
      </w:r>
      <w:r w:rsidR="00724C92">
        <w:rPr>
          <w:sz w:val="22"/>
          <w:szCs w:val="22"/>
        </w:rPr>
        <w:t>,</w:t>
      </w:r>
      <w:r>
        <w:rPr>
          <w:sz w:val="22"/>
          <w:szCs w:val="22"/>
        </w:rPr>
        <w:t xml:space="preserve"> </w:t>
      </w:r>
      <w:r w:rsidR="003D15A5">
        <w:rPr>
          <w:sz w:val="22"/>
          <w:szCs w:val="22"/>
        </w:rPr>
        <w:t xml:space="preserve">extensive </w:t>
      </w:r>
      <w:r>
        <w:rPr>
          <w:sz w:val="22"/>
          <w:szCs w:val="22"/>
        </w:rPr>
        <w:t xml:space="preserve">discussion with Robert Audi, and </w:t>
      </w:r>
      <w:r w:rsidR="00E76BCA">
        <w:rPr>
          <w:sz w:val="22"/>
          <w:szCs w:val="22"/>
        </w:rPr>
        <w:t xml:space="preserve">insightful </w:t>
      </w:r>
      <w:r w:rsidR="003D15A5">
        <w:rPr>
          <w:sz w:val="22"/>
          <w:szCs w:val="22"/>
        </w:rPr>
        <w:t>comments</w:t>
      </w:r>
      <w:r>
        <w:rPr>
          <w:sz w:val="22"/>
          <w:szCs w:val="22"/>
        </w:rPr>
        <w:t xml:space="preserve"> from </w:t>
      </w:r>
      <w:r w:rsidR="00871399">
        <w:rPr>
          <w:sz w:val="22"/>
          <w:szCs w:val="22"/>
        </w:rPr>
        <w:t xml:space="preserve">Sophie Grace Chappell, Justin Oakley, Tim Dare, David Killoren, </w:t>
      </w:r>
      <w:r>
        <w:rPr>
          <w:sz w:val="22"/>
          <w:szCs w:val="22"/>
        </w:rPr>
        <w:t xml:space="preserve">Stephanie Collins, Tyler Paytas, </w:t>
      </w:r>
      <w:r w:rsidR="00724C92">
        <w:rPr>
          <w:sz w:val="22"/>
          <w:szCs w:val="22"/>
        </w:rPr>
        <w:t>Richard Rowland</w:t>
      </w:r>
      <w:r w:rsidR="00871399">
        <w:rPr>
          <w:sz w:val="22"/>
          <w:szCs w:val="22"/>
        </w:rPr>
        <w:t>, Graham Oddie and Aaron Stalnaker</w:t>
      </w:r>
      <w:r w:rsidR="00C1087E">
        <w:rPr>
          <w:sz w:val="22"/>
          <w:szCs w:val="22"/>
        </w:rPr>
        <w:t xml:space="preserve">, after presentations at </w:t>
      </w:r>
      <w:r w:rsidR="003D15A5">
        <w:rPr>
          <w:sz w:val="22"/>
          <w:szCs w:val="22"/>
        </w:rPr>
        <w:t>Auckland and ACU Melbourne.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notTrueType/>
    <w:pitch w:val="variable"/>
    <w:sig w:usb0="00000003" w:usb1="00000000" w:usb2="00000000" w:usb3="00000000" w:csb0="00000001" w:csb1="00000000"/>
  </w:font>
  <w:font w:name="Minion Pro">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9ECFA" w14:textId="3DBCC9A1" w:rsidR="005F1BD8" w:rsidRDefault="005F1BD8" w:rsidP="000A6217">
    <w:pPr>
      <w:pStyle w:val="Footer"/>
      <w:jc w:val="center"/>
    </w:pPr>
    <w:r>
      <w:t xml:space="preserve">- </w:t>
    </w:r>
    <w:r>
      <w:fldChar w:fldCharType="begin"/>
    </w:r>
    <w:r>
      <w:instrText xml:space="preserve"> PAGE   \* MERGEFORMAT </w:instrText>
    </w:r>
    <w:r>
      <w:fldChar w:fldCharType="separate"/>
    </w:r>
    <w:r w:rsidR="00EB0157">
      <w:rPr>
        <w:noProof/>
      </w:rPr>
      <w:t>28</w:t>
    </w:r>
    <w:r>
      <w:rPr>
        <w:noProof/>
      </w:rPr>
      <w:fldChar w:fldCharType="end"/>
    </w:r>
    <w:r>
      <w:rPr>
        <w:noProof/>
      </w:rPr>
      <w:t xml:space="preserve"> -</w:t>
    </w:r>
  </w:p>
  <w:p w14:paraId="3374E480" w14:textId="77777777" w:rsidR="005F1BD8" w:rsidRDefault="005F1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31A04" w14:textId="77777777" w:rsidR="000E75B8" w:rsidRDefault="000E75B8" w:rsidP="007E6015">
      <w:pPr>
        <w:spacing w:before="0" w:line="240" w:lineRule="auto"/>
      </w:pPr>
      <w:r>
        <w:separator/>
      </w:r>
    </w:p>
  </w:footnote>
  <w:footnote w:type="continuationSeparator" w:id="0">
    <w:p w14:paraId="75FB8FCE" w14:textId="77777777" w:rsidR="000E75B8" w:rsidRDefault="000E75B8" w:rsidP="007E6015">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77E05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21160"/>
    <w:multiLevelType w:val="hybridMultilevel"/>
    <w:tmpl w:val="AD422F6E"/>
    <w:lvl w:ilvl="0" w:tplc="35DE114A">
      <w:start w:val="5"/>
      <w:numFmt w:val="bullet"/>
      <w:lvlText w:val="-"/>
      <w:lvlJc w:val="left"/>
      <w:pPr>
        <w:ind w:left="720" w:hanging="360"/>
      </w:pPr>
      <w:rPr>
        <w:rFonts w:ascii="Times New Roman" w:eastAsiaTheme="minorHAns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D64FEB"/>
    <w:multiLevelType w:val="hybridMultilevel"/>
    <w:tmpl w:val="ABBCC7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1E82758"/>
    <w:multiLevelType w:val="hybridMultilevel"/>
    <w:tmpl w:val="B75CB970"/>
    <w:lvl w:ilvl="0" w:tplc="D7F0BB44">
      <w:start w:val="4"/>
      <w:numFmt w:val="bullet"/>
      <w:lvlText w:val="-"/>
      <w:lvlJc w:val="left"/>
      <w:pPr>
        <w:ind w:left="927" w:hanging="360"/>
      </w:pPr>
      <w:rPr>
        <w:rFonts w:ascii="Times New Roman" w:eastAsiaTheme="minorHAnsi" w:hAnsi="Times New Roman"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MLA shor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ratsrwz8wzzspewsdu502wwd2ezesewppe2&quot;&gt;CRC-Final&lt;record-ids&gt;&lt;item&gt;3&lt;/item&gt;&lt;item&gt;78&lt;/item&gt;&lt;item&gt;125&lt;/item&gt;&lt;item&gt;149&lt;/item&gt;&lt;item&gt;190&lt;/item&gt;&lt;item&gt;198&lt;/item&gt;&lt;item&gt;200&lt;/item&gt;&lt;item&gt;204&lt;/item&gt;&lt;/record-ids&gt;&lt;/item&gt;&lt;item db-id=&quot;a5ffrdzp85025zevt0ivvtahzzw0ea5fveps&quot;&gt;Papers&lt;record-ids&gt;&lt;item&gt;7&lt;/item&gt;&lt;item&gt;8&lt;/item&gt;&lt;item&gt;37&lt;/item&gt;&lt;item&gt;60&lt;/item&gt;&lt;item&gt;124&lt;/item&gt;&lt;item&gt;126&lt;/item&gt;&lt;item&gt;148&lt;/item&gt;&lt;item&gt;149&lt;/item&gt;&lt;item&gt;150&lt;/item&gt;&lt;item&gt;151&lt;/item&gt;&lt;item&gt;152&lt;/item&gt;&lt;item&gt;153&lt;/item&gt;&lt;item&gt;154&lt;/item&gt;&lt;item&gt;155&lt;/item&gt;&lt;item&gt;156&lt;/item&gt;&lt;item&gt;157&lt;/item&gt;&lt;item&gt;158&lt;/item&gt;&lt;/record-ids&gt;&lt;/item&gt;&lt;/Libraries&gt;"/>
  </w:docVars>
  <w:rsids>
    <w:rsidRoot w:val="00FB032C"/>
    <w:rsid w:val="00004F2C"/>
    <w:rsid w:val="000222A9"/>
    <w:rsid w:val="000301E1"/>
    <w:rsid w:val="00035E44"/>
    <w:rsid w:val="00044798"/>
    <w:rsid w:val="00044A95"/>
    <w:rsid w:val="00057890"/>
    <w:rsid w:val="00060407"/>
    <w:rsid w:val="0006100C"/>
    <w:rsid w:val="000644DA"/>
    <w:rsid w:val="00067614"/>
    <w:rsid w:val="00076AF3"/>
    <w:rsid w:val="000975B1"/>
    <w:rsid w:val="000A082B"/>
    <w:rsid w:val="000A106D"/>
    <w:rsid w:val="000A2BB9"/>
    <w:rsid w:val="000A6217"/>
    <w:rsid w:val="000A6E1B"/>
    <w:rsid w:val="000A7419"/>
    <w:rsid w:val="000A7E2E"/>
    <w:rsid w:val="000B16A8"/>
    <w:rsid w:val="000B36C8"/>
    <w:rsid w:val="000B720F"/>
    <w:rsid w:val="000B7CB5"/>
    <w:rsid w:val="000B7E95"/>
    <w:rsid w:val="000E405D"/>
    <w:rsid w:val="000E59AA"/>
    <w:rsid w:val="000E5A60"/>
    <w:rsid w:val="000E75B8"/>
    <w:rsid w:val="001111D6"/>
    <w:rsid w:val="0011473C"/>
    <w:rsid w:val="00116456"/>
    <w:rsid w:val="001269C1"/>
    <w:rsid w:val="00146445"/>
    <w:rsid w:val="00154400"/>
    <w:rsid w:val="00157F34"/>
    <w:rsid w:val="00163F43"/>
    <w:rsid w:val="00167A39"/>
    <w:rsid w:val="00171BEF"/>
    <w:rsid w:val="00180639"/>
    <w:rsid w:val="001A3225"/>
    <w:rsid w:val="001A65EE"/>
    <w:rsid w:val="001C345D"/>
    <w:rsid w:val="001D1A7D"/>
    <w:rsid w:val="001E43C9"/>
    <w:rsid w:val="001E6AB0"/>
    <w:rsid w:val="001F462A"/>
    <w:rsid w:val="00201DF0"/>
    <w:rsid w:val="002020BA"/>
    <w:rsid w:val="002133B8"/>
    <w:rsid w:val="002213D4"/>
    <w:rsid w:val="00226910"/>
    <w:rsid w:val="00226BE6"/>
    <w:rsid w:val="00227147"/>
    <w:rsid w:val="00231CCB"/>
    <w:rsid w:val="00236E47"/>
    <w:rsid w:val="002370C7"/>
    <w:rsid w:val="00237537"/>
    <w:rsid w:val="00241B42"/>
    <w:rsid w:val="0024521B"/>
    <w:rsid w:val="002466DE"/>
    <w:rsid w:val="0025203F"/>
    <w:rsid w:val="0025697E"/>
    <w:rsid w:val="0025765E"/>
    <w:rsid w:val="002734E4"/>
    <w:rsid w:val="00287A08"/>
    <w:rsid w:val="00293607"/>
    <w:rsid w:val="00293B6A"/>
    <w:rsid w:val="00294C0D"/>
    <w:rsid w:val="002959FA"/>
    <w:rsid w:val="002A64EA"/>
    <w:rsid w:val="002B056E"/>
    <w:rsid w:val="002B6976"/>
    <w:rsid w:val="002C7FB4"/>
    <w:rsid w:val="002D250B"/>
    <w:rsid w:val="002D4297"/>
    <w:rsid w:val="002E0015"/>
    <w:rsid w:val="002E3385"/>
    <w:rsid w:val="002F0526"/>
    <w:rsid w:val="002F2D58"/>
    <w:rsid w:val="002F3BA4"/>
    <w:rsid w:val="002F5C79"/>
    <w:rsid w:val="00300B73"/>
    <w:rsid w:val="003040C1"/>
    <w:rsid w:val="00305041"/>
    <w:rsid w:val="00315A16"/>
    <w:rsid w:val="00323E45"/>
    <w:rsid w:val="00327BC7"/>
    <w:rsid w:val="0033093F"/>
    <w:rsid w:val="003336F8"/>
    <w:rsid w:val="00362EA0"/>
    <w:rsid w:val="0036370E"/>
    <w:rsid w:val="003724AD"/>
    <w:rsid w:val="003827FC"/>
    <w:rsid w:val="00397969"/>
    <w:rsid w:val="003B03C6"/>
    <w:rsid w:val="003C702E"/>
    <w:rsid w:val="003C779A"/>
    <w:rsid w:val="003D15A5"/>
    <w:rsid w:val="003D5E0F"/>
    <w:rsid w:val="003E0185"/>
    <w:rsid w:val="003E7A39"/>
    <w:rsid w:val="003F49A7"/>
    <w:rsid w:val="003F518F"/>
    <w:rsid w:val="003F5C90"/>
    <w:rsid w:val="00402482"/>
    <w:rsid w:val="00410DF5"/>
    <w:rsid w:val="00416109"/>
    <w:rsid w:val="00423118"/>
    <w:rsid w:val="004301AC"/>
    <w:rsid w:val="00430CCC"/>
    <w:rsid w:val="00442229"/>
    <w:rsid w:val="0044540D"/>
    <w:rsid w:val="0044558C"/>
    <w:rsid w:val="00445D72"/>
    <w:rsid w:val="004468EE"/>
    <w:rsid w:val="004473C6"/>
    <w:rsid w:val="0045769E"/>
    <w:rsid w:val="004609DB"/>
    <w:rsid w:val="00462D82"/>
    <w:rsid w:val="00465B2E"/>
    <w:rsid w:val="00466786"/>
    <w:rsid w:val="004713E5"/>
    <w:rsid w:val="00476403"/>
    <w:rsid w:val="00476F28"/>
    <w:rsid w:val="004804FB"/>
    <w:rsid w:val="004926FF"/>
    <w:rsid w:val="0049425B"/>
    <w:rsid w:val="004A2254"/>
    <w:rsid w:val="004A4480"/>
    <w:rsid w:val="004A528B"/>
    <w:rsid w:val="004A5643"/>
    <w:rsid w:val="004B12FA"/>
    <w:rsid w:val="004B6762"/>
    <w:rsid w:val="004C1A6D"/>
    <w:rsid w:val="004D0170"/>
    <w:rsid w:val="004D41C0"/>
    <w:rsid w:val="004D468E"/>
    <w:rsid w:val="004E1A28"/>
    <w:rsid w:val="004F00C5"/>
    <w:rsid w:val="00500038"/>
    <w:rsid w:val="00503A04"/>
    <w:rsid w:val="00507392"/>
    <w:rsid w:val="005115C4"/>
    <w:rsid w:val="005138FC"/>
    <w:rsid w:val="00520C7B"/>
    <w:rsid w:val="0052571D"/>
    <w:rsid w:val="00525A40"/>
    <w:rsid w:val="00530245"/>
    <w:rsid w:val="00536147"/>
    <w:rsid w:val="00541502"/>
    <w:rsid w:val="005438F4"/>
    <w:rsid w:val="00544DDC"/>
    <w:rsid w:val="00547A26"/>
    <w:rsid w:val="00552B3D"/>
    <w:rsid w:val="00556DD7"/>
    <w:rsid w:val="005618D0"/>
    <w:rsid w:val="0056378E"/>
    <w:rsid w:val="00566E5E"/>
    <w:rsid w:val="00567989"/>
    <w:rsid w:val="00581E04"/>
    <w:rsid w:val="005825F2"/>
    <w:rsid w:val="00585715"/>
    <w:rsid w:val="00587014"/>
    <w:rsid w:val="00591F0B"/>
    <w:rsid w:val="005A1ADD"/>
    <w:rsid w:val="005A3F55"/>
    <w:rsid w:val="005B0E56"/>
    <w:rsid w:val="005B27B2"/>
    <w:rsid w:val="005D329A"/>
    <w:rsid w:val="005D66AE"/>
    <w:rsid w:val="005F059B"/>
    <w:rsid w:val="005F1BD8"/>
    <w:rsid w:val="005F7802"/>
    <w:rsid w:val="00613C3C"/>
    <w:rsid w:val="00616588"/>
    <w:rsid w:val="0062349C"/>
    <w:rsid w:val="006265E8"/>
    <w:rsid w:val="00643452"/>
    <w:rsid w:val="00644923"/>
    <w:rsid w:val="00652D8E"/>
    <w:rsid w:val="0065583F"/>
    <w:rsid w:val="00656A82"/>
    <w:rsid w:val="006627C8"/>
    <w:rsid w:val="00665BEF"/>
    <w:rsid w:val="00673BD8"/>
    <w:rsid w:val="00674E44"/>
    <w:rsid w:val="00690C06"/>
    <w:rsid w:val="006A6617"/>
    <w:rsid w:val="006B1CE3"/>
    <w:rsid w:val="006C273A"/>
    <w:rsid w:val="006D0935"/>
    <w:rsid w:val="006D3B2F"/>
    <w:rsid w:val="006D5D80"/>
    <w:rsid w:val="006D6D3E"/>
    <w:rsid w:val="006D7761"/>
    <w:rsid w:val="006E226F"/>
    <w:rsid w:val="006E352B"/>
    <w:rsid w:val="006F618A"/>
    <w:rsid w:val="00705EF2"/>
    <w:rsid w:val="00713A39"/>
    <w:rsid w:val="00714FF8"/>
    <w:rsid w:val="0072290A"/>
    <w:rsid w:val="00724C92"/>
    <w:rsid w:val="00734C3F"/>
    <w:rsid w:val="007410F9"/>
    <w:rsid w:val="00742DE0"/>
    <w:rsid w:val="007447A3"/>
    <w:rsid w:val="007623D4"/>
    <w:rsid w:val="007637F0"/>
    <w:rsid w:val="00772059"/>
    <w:rsid w:val="0077437F"/>
    <w:rsid w:val="0077438C"/>
    <w:rsid w:val="00780B95"/>
    <w:rsid w:val="00784117"/>
    <w:rsid w:val="0078564D"/>
    <w:rsid w:val="0078662C"/>
    <w:rsid w:val="007874DA"/>
    <w:rsid w:val="00792BC0"/>
    <w:rsid w:val="00794B1F"/>
    <w:rsid w:val="007A5E5C"/>
    <w:rsid w:val="007B0CBE"/>
    <w:rsid w:val="007B3D06"/>
    <w:rsid w:val="007B440D"/>
    <w:rsid w:val="007B75C3"/>
    <w:rsid w:val="007C4354"/>
    <w:rsid w:val="007D2B84"/>
    <w:rsid w:val="007D49F7"/>
    <w:rsid w:val="007E5B80"/>
    <w:rsid w:val="007E6015"/>
    <w:rsid w:val="007F3D5E"/>
    <w:rsid w:val="00805F01"/>
    <w:rsid w:val="008065F2"/>
    <w:rsid w:val="0081144A"/>
    <w:rsid w:val="00814C41"/>
    <w:rsid w:val="008333FB"/>
    <w:rsid w:val="00854AEC"/>
    <w:rsid w:val="00865DB6"/>
    <w:rsid w:val="00871399"/>
    <w:rsid w:val="008813CA"/>
    <w:rsid w:val="0088400B"/>
    <w:rsid w:val="008878D0"/>
    <w:rsid w:val="0089426E"/>
    <w:rsid w:val="008A2831"/>
    <w:rsid w:val="008B33D1"/>
    <w:rsid w:val="008B7770"/>
    <w:rsid w:val="008C5AA9"/>
    <w:rsid w:val="008C7AD4"/>
    <w:rsid w:val="008D324C"/>
    <w:rsid w:val="008D6EC9"/>
    <w:rsid w:val="008E10B1"/>
    <w:rsid w:val="008E14AA"/>
    <w:rsid w:val="008E16E7"/>
    <w:rsid w:val="008F53D9"/>
    <w:rsid w:val="008F58DC"/>
    <w:rsid w:val="0090160B"/>
    <w:rsid w:val="00903DE8"/>
    <w:rsid w:val="00905DAB"/>
    <w:rsid w:val="00921E20"/>
    <w:rsid w:val="00931809"/>
    <w:rsid w:val="00936E92"/>
    <w:rsid w:val="00945C3A"/>
    <w:rsid w:val="00953B92"/>
    <w:rsid w:val="00965B80"/>
    <w:rsid w:val="0097277D"/>
    <w:rsid w:val="00973DC4"/>
    <w:rsid w:val="009A0D3B"/>
    <w:rsid w:val="009A2A36"/>
    <w:rsid w:val="009A2B91"/>
    <w:rsid w:val="009B33DD"/>
    <w:rsid w:val="009C0790"/>
    <w:rsid w:val="009C1ED8"/>
    <w:rsid w:val="009C43F3"/>
    <w:rsid w:val="009E2BA8"/>
    <w:rsid w:val="009E5A03"/>
    <w:rsid w:val="009F14DE"/>
    <w:rsid w:val="00A36B75"/>
    <w:rsid w:val="00A40B61"/>
    <w:rsid w:val="00A53526"/>
    <w:rsid w:val="00A605BD"/>
    <w:rsid w:val="00A760FA"/>
    <w:rsid w:val="00A81980"/>
    <w:rsid w:val="00A82A45"/>
    <w:rsid w:val="00A837CD"/>
    <w:rsid w:val="00AB101B"/>
    <w:rsid w:val="00AB3819"/>
    <w:rsid w:val="00AB67F9"/>
    <w:rsid w:val="00AD2772"/>
    <w:rsid w:val="00AD2E01"/>
    <w:rsid w:val="00AD6D3D"/>
    <w:rsid w:val="00AF4A19"/>
    <w:rsid w:val="00AF6B0A"/>
    <w:rsid w:val="00AF7FD4"/>
    <w:rsid w:val="00B013DC"/>
    <w:rsid w:val="00B01879"/>
    <w:rsid w:val="00B02C1B"/>
    <w:rsid w:val="00B02EF2"/>
    <w:rsid w:val="00B13429"/>
    <w:rsid w:val="00B14EB6"/>
    <w:rsid w:val="00B419B6"/>
    <w:rsid w:val="00B52075"/>
    <w:rsid w:val="00B571A5"/>
    <w:rsid w:val="00B62943"/>
    <w:rsid w:val="00B635B7"/>
    <w:rsid w:val="00B72164"/>
    <w:rsid w:val="00B83DB9"/>
    <w:rsid w:val="00B91866"/>
    <w:rsid w:val="00B9307A"/>
    <w:rsid w:val="00B9451E"/>
    <w:rsid w:val="00B9799D"/>
    <w:rsid w:val="00B97CEB"/>
    <w:rsid w:val="00BA6887"/>
    <w:rsid w:val="00BB7D24"/>
    <w:rsid w:val="00BD5D41"/>
    <w:rsid w:val="00BE08EE"/>
    <w:rsid w:val="00C00FE3"/>
    <w:rsid w:val="00C1087E"/>
    <w:rsid w:val="00C21466"/>
    <w:rsid w:val="00C22340"/>
    <w:rsid w:val="00C260DC"/>
    <w:rsid w:val="00C3715B"/>
    <w:rsid w:val="00C407D4"/>
    <w:rsid w:val="00C4162C"/>
    <w:rsid w:val="00C44AF4"/>
    <w:rsid w:val="00C53C05"/>
    <w:rsid w:val="00C56852"/>
    <w:rsid w:val="00C75D80"/>
    <w:rsid w:val="00C815DA"/>
    <w:rsid w:val="00C83C65"/>
    <w:rsid w:val="00C84128"/>
    <w:rsid w:val="00C87FE5"/>
    <w:rsid w:val="00C9476F"/>
    <w:rsid w:val="00C94C47"/>
    <w:rsid w:val="00CA311B"/>
    <w:rsid w:val="00CA4320"/>
    <w:rsid w:val="00CA594A"/>
    <w:rsid w:val="00CA7AD6"/>
    <w:rsid w:val="00CB0077"/>
    <w:rsid w:val="00CB35E2"/>
    <w:rsid w:val="00CB6167"/>
    <w:rsid w:val="00CD0899"/>
    <w:rsid w:val="00CD1B5D"/>
    <w:rsid w:val="00CE3880"/>
    <w:rsid w:val="00CF3B99"/>
    <w:rsid w:val="00CF743F"/>
    <w:rsid w:val="00D067F5"/>
    <w:rsid w:val="00D1006A"/>
    <w:rsid w:val="00D13AA8"/>
    <w:rsid w:val="00D13F62"/>
    <w:rsid w:val="00D14A6C"/>
    <w:rsid w:val="00D17CC4"/>
    <w:rsid w:val="00D23D25"/>
    <w:rsid w:val="00D273B5"/>
    <w:rsid w:val="00D3067E"/>
    <w:rsid w:val="00D3151E"/>
    <w:rsid w:val="00D31C5C"/>
    <w:rsid w:val="00D320A2"/>
    <w:rsid w:val="00D3213E"/>
    <w:rsid w:val="00D3271F"/>
    <w:rsid w:val="00D36D79"/>
    <w:rsid w:val="00D41820"/>
    <w:rsid w:val="00D41CA0"/>
    <w:rsid w:val="00D422DC"/>
    <w:rsid w:val="00D45F18"/>
    <w:rsid w:val="00D5461A"/>
    <w:rsid w:val="00D61211"/>
    <w:rsid w:val="00D71586"/>
    <w:rsid w:val="00D83124"/>
    <w:rsid w:val="00D96821"/>
    <w:rsid w:val="00DA0DAA"/>
    <w:rsid w:val="00DA298D"/>
    <w:rsid w:val="00DA4870"/>
    <w:rsid w:val="00DB1010"/>
    <w:rsid w:val="00DB3327"/>
    <w:rsid w:val="00DC2FE3"/>
    <w:rsid w:val="00DD0BD7"/>
    <w:rsid w:val="00DD0D71"/>
    <w:rsid w:val="00DD1DB0"/>
    <w:rsid w:val="00DD3B7B"/>
    <w:rsid w:val="00DE1702"/>
    <w:rsid w:val="00DE3AA1"/>
    <w:rsid w:val="00DF3D7B"/>
    <w:rsid w:val="00E01443"/>
    <w:rsid w:val="00E01557"/>
    <w:rsid w:val="00E01C85"/>
    <w:rsid w:val="00E14140"/>
    <w:rsid w:val="00E14B40"/>
    <w:rsid w:val="00E1700D"/>
    <w:rsid w:val="00E6204C"/>
    <w:rsid w:val="00E67503"/>
    <w:rsid w:val="00E746BD"/>
    <w:rsid w:val="00E74F39"/>
    <w:rsid w:val="00E76BCA"/>
    <w:rsid w:val="00E8454C"/>
    <w:rsid w:val="00E8486D"/>
    <w:rsid w:val="00E93FA5"/>
    <w:rsid w:val="00E95A97"/>
    <w:rsid w:val="00E96756"/>
    <w:rsid w:val="00EB0157"/>
    <w:rsid w:val="00EB4E04"/>
    <w:rsid w:val="00EC0FC5"/>
    <w:rsid w:val="00EC43B2"/>
    <w:rsid w:val="00EC5261"/>
    <w:rsid w:val="00EE14C1"/>
    <w:rsid w:val="00EE3AFD"/>
    <w:rsid w:val="00EF1228"/>
    <w:rsid w:val="00F01C5D"/>
    <w:rsid w:val="00F11256"/>
    <w:rsid w:val="00F14686"/>
    <w:rsid w:val="00F179F8"/>
    <w:rsid w:val="00F26316"/>
    <w:rsid w:val="00F34A98"/>
    <w:rsid w:val="00F352C6"/>
    <w:rsid w:val="00F400C2"/>
    <w:rsid w:val="00F46086"/>
    <w:rsid w:val="00F47FD8"/>
    <w:rsid w:val="00F55725"/>
    <w:rsid w:val="00F56DC5"/>
    <w:rsid w:val="00F57D0E"/>
    <w:rsid w:val="00F6612B"/>
    <w:rsid w:val="00F73D31"/>
    <w:rsid w:val="00F75CD6"/>
    <w:rsid w:val="00F97E46"/>
    <w:rsid w:val="00FA0E15"/>
    <w:rsid w:val="00FB032C"/>
    <w:rsid w:val="00FC2A79"/>
    <w:rsid w:val="00FD752A"/>
    <w:rsid w:val="00FF75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12F06"/>
  <w15:docId w15:val="{CFAFA6BC-FA03-4632-A349-C411DD1A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ajorBidi"/>
        <w:sz w:val="24"/>
        <w:szCs w:val="24"/>
        <w:lang w:val="en-AU" w:eastAsia="en-US" w:bidi="ar-SA"/>
      </w:rPr>
    </w:rPrDefault>
    <w:pPrDefault>
      <w:pPr>
        <w:spacing w:before="120"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16"/>
  </w:style>
  <w:style w:type="paragraph" w:styleId="Heading1">
    <w:name w:val="heading 1"/>
    <w:basedOn w:val="Normal"/>
    <w:next w:val="Normal"/>
    <w:link w:val="Heading1Char"/>
    <w:uiPriority w:val="9"/>
    <w:qFormat/>
    <w:rsid w:val="00F179F8"/>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F179F8"/>
    <w:pPr>
      <w:pBdr>
        <w:bottom w:val="single" w:sz="4" w:space="1" w:color="622423" w:themeColor="accent2" w:themeShade="7F"/>
      </w:pBdr>
      <w:spacing w:before="400"/>
      <w:jc w:val="center"/>
      <w:outlineLvl w:val="1"/>
    </w:pPr>
    <w:rPr>
      <w:caps/>
      <w:color w:val="632423" w:themeColor="accent2" w:themeShade="80"/>
      <w:spacing w:val="15"/>
    </w:rPr>
  </w:style>
  <w:style w:type="paragraph" w:styleId="Heading3">
    <w:name w:val="heading 3"/>
    <w:basedOn w:val="Normal"/>
    <w:next w:val="Normal"/>
    <w:link w:val="Heading3Char"/>
    <w:uiPriority w:val="9"/>
    <w:semiHidden/>
    <w:unhideWhenUsed/>
    <w:qFormat/>
    <w:rsid w:val="00F179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rPr>
  </w:style>
  <w:style w:type="paragraph" w:styleId="Heading4">
    <w:name w:val="heading 4"/>
    <w:basedOn w:val="Normal"/>
    <w:next w:val="Normal"/>
    <w:link w:val="Heading4Char"/>
    <w:uiPriority w:val="9"/>
    <w:semiHidden/>
    <w:unhideWhenUsed/>
    <w:qFormat/>
    <w:rsid w:val="00F179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F179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F179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F179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F179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F179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9F8"/>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F179F8"/>
    <w:rPr>
      <w:caps/>
      <w:color w:val="632423" w:themeColor="accent2" w:themeShade="80"/>
      <w:spacing w:val="15"/>
    </w:rPr>
  </w:style>
  <w:style w:type="character" w:customStyle="1" w:styleId="Heading3Char">
    <w:name w:val="Heading 3 Char"/>
    <w:basedOn w:val="DefaultParagraphFont"/>
    <w:link w:val="Heading3"/>
    <w:uiPriority w:val="9"/>
    <w:semiHidden/>
    <w:rsid w:val="00F179F8"/>
    <w:rPr>
      <w:caps/>
      <w:color w:val="622423" w:themeColor="accent2" w:themeShade="7F"/>
    </w:rPr>
  </w:style>
  <w:style w:type="character" w:customStyle="1" w:styleId="Heading4Char">
    <w:name w:val="Heading 4 Char"/>
    <w:basedOn w:val="DefaultParagraphFont"/>
    <w:link w:val="Heading4"/>
    <w:uiPriority w:val="9"/>
    <w:semiHidden/>
    <w:rsid w:val="00F179F8"/>
    <w:rPr>
      <w:caps/>
      <w:color w:val="622423" w:themeColor="accent2" w:themeShade="7F"/>
      <w:spacing w:val="10"/>
    </w:rPr>
  </w:style>
  <w:style w:type="character" w:customStyle="1" w:styleId="Heading5Char">
    <w:name w:val="Heading 5 Char"/>
    <w:basedOn w:val="DefaultParagraphFont"/>
    <w:link w:val="Heading5"/>
    <w:uiPriority w:val="9"/>
    <w:semiHidden/>
    <w:rsid w:val="00F179F8"/>
    <w:rPr>
      <w:caps/>
      <w:color w:val="622423" w:themeColor="accent2" w:themeShade="7F"/>
      <w:spacing w:val="10"/>
    </w:rPr>
  </w:style>
  <w:style w:type="character" w:customStyle="1" w:styleId="Heading6Char">
    <w:name w:val="Heading 6 Char"/>
    <w:basedOn w:val="DefaultParagraphFont"/>
    <w:link w:val="Heading6"/>
    <w:uiPriority w:val="9"/>
    <w:semiHidden/>
    <w:rsid w:val="00F179F8"/>
    <w:rPr>
      <w:caps/>
      <w:color w:val="943634" w:themeColor="accent2" w:themeShade="BF"/>
      <w:spacing w:val="10"/>
    </w:rPr>
  </w:style>
  <w:style w:type="character" w:customStyle="1" w:styleId="Heading7Char">
    <w:name w:val="Heading 7 Char"/>
    <w:basedOn w:val="DefaultParagraphFont"/>
    <w:link w:val="Heading7"/>
    <w:uiPriority w:val="9"/>
    <w:semiHidden/>
    <w:rsid w:val="00F179F8"/>
    <w:rPr>
      <w:i/>
      <w:iCs/>
      <w:caps/>
      <w:color w:val="943634" w:themeColor="accent2" w:themeShade="BF"/>
      <w:spacing w:val="10"/>
    </w:rPr>
  </w:style>
  <w:style w:type="character" w:customStyle="1" w:styleId="Heading8Char">
    <w:name w:val="Heading 8 Char"/>
    <w:basedOn w:val="DefaultParagraphFont"/>
    <w:link w:val="Heading8"/>
    <w:uiPriority w:val="9"/>
    <w:semiHidden/>
    <w:rsid w:val="00F179F8"/>
    <w:rPr>
      <w:caps/>
      <w:spacing w:val="10"/>
      <w:sz w:val="20"/>
      <w:szCs w:val="20"/>
    </w:rPr>
  </w:style>
  <w:style w:type="character" w:customStyle="1" w:styleId="Heading9Char">
    <w:name w:val="Heading 9 Char"/>
    <w:basedOn w:val="DefaultParagraphFont"/>
    <w:link w:val="Heading9"/>
    <w:uiPriority w:val="9"/>
    <w:semiHidden/>
    <w:rsid w:val="00F179F8"/>
    <w:rPr>
      <w:i/>
      <w:iCs/>
      <w:caps/>
      <w:spacing w:val="10"/>
      <w:sz w:val="20"/>
      <w:szCs w:val="20"/>
    </w:rPr>
  </w:style>
  <w:style w:type="paragraph" w:styleId="Caption">
    <w:name w:val="caption"/>
    <w:basedOn w:val="Normal"/>
    <w:next w:val="Normal"/>
    <w:uiPriority w:val="35"/>
    <w:semiHidden/>
    <w:unhideWhenUsed/>
    <w:qFormat/>
    <w:rsid w:val="00F179F8"/>
    <w:rPr>
      <w:caps/>
      <w:spacing w:val="10"/>
      <w:sz w:val="18"/>
      <w:szCs w:val="18"/>
    </w:rPr>
  </w:style>
  <w:style w:type="paragraph" w:styleId="Title">
    <w:name w:val="Title"/>
    <w:basedOn w:val="Normal"/>
    <w:next w:val="Normal"/>
    <w:link w:val="TitleChar"/>
    <w:uiPriority w:val="10"/>
    <w:qFormat/>
    <w:rsid w:val="00F179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F179F8"/>
    <w:rPr>
      <w:caps/>
      <w:color w:val="632423" w:themeColor="accent2" w:themeShade="80"/>
      <w:spacing w:val="50"/>
      <w:sz w:val="44"/>
      <w:szCs w:val="44"/>
    </w:rPr>
  </w:style>
  <w:style w:type="paragraph" w:styleId="Subtitle">
    <w:name w:val="Subtitle"/>
    <w:basedOn w:val="Normal"/>
    <w:next w:val="Normal"/>
    <w:link w:val="SubtitleChar"/>
    <w:uiPriority w:val="11"/>
    <w:qFormat/>
    <w:rsid w:val="00F179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F179F8"/>
    <w:rPr>
      <w:caps/>
      <w:spacing w:val="20"/>
      <w:sz w:val="18"/>
      <w:szCs w:val="18"/>
    </w:rPr>
  </w:style>
  <w:style w:type="character" w:styleId="Strong">
    <w:name w:val="Strong"/>
    <w:uiPriority w:val="22"/>
    <w:qFormat/>
    <w:rsid w:val="00F179F8"/>
    <w:rPr>
      <w:b/>
      <w:bCs/>
      <w:color w:val="943634" w:themeColor="accent2" w:themeShade="BF"/>
      <w:spacing w:val="5"/>
    </w:rPr>
  </w:style>
  <w:style w:type="character" w:styleId="Emphasis">
    <w:name w:val="Emphasis"/>
    <w:uiPriority w:val="20"/>
    <w:qFormat/>
    <w:rsid w:val="00F179F8"/>
    <w:rPr>
      <w:caps/>
      <w:spacing w:val="5"/>
      <w:sz w:val="20"/>
      <w:szCs w:val="20"/>
    </w:rPr>
  </w:style>
  <w:style w:type="paragraph" w:styleId="NoSpacing">
    <w:name w:val="No Spacing"/>
    <w:basedOn w:val="Normal"/>
    <w:link w:val="NoSpacingChar"/>
    <w:uiPriority w:val="1"/>
    <w:qFormat/>
    <w:rsid w:val="00F179F8"/>
    <w:pPr>
      <w:spacing w:line="240" w:lineRule="auto"/>
    </w:pPr>
  </w:style>
  <w:style w:type="character" w:customStyle="1" w:styleId="NoSpacingChar">
    <w:name w:val="No Spacing Char"/>
    <w:basedOn w:val="DefaultParagraphFont"/>
    <w:link w:val="NoSpacing"/>
    <w:uiPriority w:val="1"/>
    <w:rsid w:val="00F179F8"/>
  </w:style>
  <w:style w:type="paragraph" w:styleId="ListParagraph">
    <w:name w:val="List Paragraph"/>
    <w:basedOn w:val="Normal"/>
    <w:uiPriority w:val="34"/>
    <w:qFormat/>
    <w:rsid w:val="00F179F8"/>
    <w:pPr>
      <w:ind w:left="720"/>
      <w:contextualSpacing/>
    </w:pPr>
  </w:style>
  <w:style w:type="paragraph" w:styleId="Quote">
    <w:name w:val="Quote"/>
    <w:basedOn w:val="Normal"/>
    <w:next w:val="Normal"/>
    <w:link w:val="QuoteChar"/>
    <w:uiPriority w:val="29"/>
    <w:qFormat/>
    <w:rsid w:val="00F179F8"/>
    <w:rPr>
      <w:i/>
      <w:iCs/>
    </w:rPr>
  </w:style>
  <w:style w:type="character" w:customStyle="1" w:styleId="QuoteChar">
    <w:name w:val="Quote Char"/>
    <w:basedOn w:val="DefaultParagraphFont"/>
    <w:link w:val="Quote"/>
    <w:uiPriority w:val="29"/>
    <w:rsid w:val="00F179F8"/>
    <w:rPr>
      <w:i/>
      <w:iCs/>
    </w:rPr>
  </w:style>
  <w:style w:type="paragraph" w:styleId="IntenseQuote">
    <w:name w:val="Intense Quote"/>
    <w:basedOn w:val="Normal"/>
    <w:next w:val="Normal"/>
    <w:link w:val="IntenseQuoteChar"/>
    <w:uiPriority w:val="30"/>
    <w:qFormat/>
    <w:rsid w:val="00F179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F179F8"/>
    <w:rPr>
      <w:caps/>
      <w:color w:val="622423" w:themeColor="accent2" w:themeShade="7F"/>
      <w:spacing w:val="5"/>
      <w:sz w:val="20"/>
      <w:szCs w:val="20"/>
    </w:rPr>
  </w:style>
  <w:style w:type="character" w:styleId="SubtleEmphasis">
    <w:name w:val="Subtle Emphasis"/>
    <w:uiPriority w:val="19"/>
    <w:qFormat/>
    <w:rsid w:val="00F179F8"/>
    <w:rPr>
      <w:i/>
      <w:iCs/>
    </w:rPr>
  </w:style>
  <w:style w:type="character" w:styleId="IntenseEmphasis">
    <w:name w:val="Intense Emphasis"/>
    <w:uiPriority w:val="21"/>
    <w:qFormat/>
    <w:rsid w:val="00F179F8"/>
    <w:rPr>
      <w:i/>
      <w:iCs/>
      <w:caps/>
      <w:spacing w:val="10"/>
      <w:sz w:val="20"/>
      <w:szCs w:val="20"/>
    </w:rPr>
  </w:style>
  <w:style w:type="character" w:styleId="SubtleReference">
    <w:name w:val="Subtle Reference"/>
    <w:basedOn w:val="DefaultParagraphFont"/>
    <w:uiPriority w:val="31"/>
    <w:qFormat/>
    <w:rsid w:val="00F179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F179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F179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F179F8"/>
    <w:pPr>
      <w:outlineLvl w:val="9"/>
    </w:pPr>
    <w:rPr>
      <w:lang w:bidi="en-US"/>
    </w:rPr>
  </w:style>
  <w:style w:type="paragraph" w:styleId="EndnoteText">
    <w:name w:val="endnote text"/>
    <w:basedOn w:val="Normal"/>
    <w:link w:val="EndnoteTextChar"/>
    <w:unhideWhenUsed/>
    <w:rsid w:val="00D5461A"/>
    <w:pPr>
      <w:spacing w:line="240" w:lineRule="auto"/>
    </w:pPr>
    <w:rPr>
      <w:sz w:val="20"/>
      <w:szCs w:val="20"/>
    </w:rPr>
  </w:style>
  <w:style w:type="character" w:customStyle="1" w:styleId="EndnoteTextChar">
    <w:name w:val="Endnote Text Char"/>
    <w:basedOn w:val="DefaultParagraphFont"/>
    <w:link w:val="EndnoteText"/>
    <w:rsid w:val="00D5461A"/>
    <w:rPr>
      <w:sz w:val="20"/>
      <w:szCs w:val="20"/>
    </w:rPr>
  </w:style>
  <w:style w:type="character" w:styleId="EndnoteReference">
    <w:name w:val="endnote reference"/>
    <w:basedOn w:val="DefaultParagraphFont"/>
    <w:semiHidden/>
    <w:unhideWhenUsed/>
    <w:rsid w:val="007E6015"/>
    <w:rPr>
      <w:vertAlign w:val="superscript"/>
    </w:rPr>
  </w:style>
  <w:style w:type="paragraph" w:styleId="Footer">
    <w:name w:val="footer"/>
    <w:basedOn w:val="Normal"/>
    <w:link w:val="FooterChar"/>
    <w:uiPriority w:val="99"/>
    <w:unhideWhenUsed/>
    <w:rsid w:val="007E601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E6015"/>
  </w:style>
  <w:style w:type="paragraph" w:customStyle="1" w:styleId="Default">
    <w:name w:val="Default"/>
    <w:rsid w:val="002E0015"/>
    <w:pPr>
      <w:autoSpaceDE w:val="0"/>
      <w:autoSpaceDN w:val="0"/>
      <w:adjustRightInd w:val="0"/>
      <w:spacing w:before="0" w:line="240" w:lineRule="auto"/>
      <w:jc w:val="left"/>
    </w:pPr>
    <w:rPr>
      <w:rFonts w:eastAsiaTheme="minorEastAsia" w:cs="Times New Roman"/>
      <w:color w:val="000000"/>
      <w:lang w:eastAsia="en-AU"/>
    </w:rPr>
  </w:style>
  <w:style w:type="paragraph" w:styleId="FootnoteText">
    <w:name w:val="footnote text"/>
    <w:basedOn w:val="Normal"/>
    <w:link w:val="FootnoteTextChar"/>
    <w:uiPriority w:val="99"/>
    <w:rsid w:val="00D067F5"/>
    <w:rPr>
      <w:rFonts w:eastAsia="Times New Roman" w:cs="Times New Roman"/>
      <w:sz w:val="20"/>
      <w:szCs w:val="20"/>
    </w:rPr>
  </w:style>
  <w:style w:type="character" w:customStyle="1" w:styleId="FootnoteTextChar">
    <w:name w:val="Footnote Text Char"/>
    <w:basedOn w:val="DefaultParagraphFont"/>
    <w:link w:val="FootnoteText"/>
    <w:uiPriority w:val="99"/>
    <w:rsid w:val="00D067F5"/>
    <w:rPr>
      <w:rFonts w:eastAsia="Times New Roman" w:cs="Times New Roman"/>
      <w:sz w:val="20"/>
      <w:szCs w:val="20"/>
    </w:rPr>
  </w:style>
  <w:style w:type="character" w:styleId="FootnoteReference">
    <w:name w:val="footnote reference"/>
    <w:aliases w:val="New style footnote"/>
    <w:basedOn w:val="DefaultParagraphFont"/>
    <w:uiPriority w:val="99"/>
    <w:semiHidden/>
    <w:rsid w:val="00D067F5"/>
    <w:rPr>
      <w:vertAlign w:val="superscript"/>
    </w:rPr>
  </w:style>
  <w:style w:type="paragraph" w:styleId="Header">
    <w:name w:val="header"/>
    <w:basedOn w:val="Normal"/>
    <w:link w:val="HeaderChar"/>
    <w:uiPriority w:val="99"/>
    <w:unhideWhenUsed/>
    <w:rsid w:val="000A6217"/>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A6217"/>
  </w:style>
  <w:style w:type="paragraph" w:styleId="BalloonText">
    <w:name w:val="Balloon Text"/>
    <w:basedOn w:val="Normal"/>
    <w:link w:val="BalloonTextChar"/>
    <w:uiPriority w:val="99"/>
    <w:semiHidden/>
    <w:unhideWhenUsed/>
    <w:rsid w:val="000A621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217"/>
    <w:rPr>
      <w:rFonts w:ascii="Tahoma" w:hAnsi="Tahoma" w:cs="Tahoma"/>
      <w:sz w:val="16"/>
      <w:szCs w:val="16"/>
    </w:rPr>
  </w:style>
  <w:style w:type="paragraph" w:customStyle="1" w:styleId="EndNoteBibliographyTitle">
    <w:name w:val="EndNote Bibliography Title"/>
    <w:basedOn w:val="Normal"/>
    <w:link w:val="EndNoteBibliographyTitleChar"/>
    <w:rsid w:val="00F34A98"/>
    <w:pPr>
      <w:jc w:val="center"/>
    </w:pPr>
    <w:rPr>
      <w:rFonts w:cs="Times New Roman"/>
      <w:noProof/>
      <w:lang w:val="en-US"/>
    </w:rPr>
  </w:style>
  <w:style w:type="character" w:customStyle="1" w:styleId="EndNoteBibliographyTitleChar">
    <w:name w:val="EndNote Bibliography Title Char"/>
    <w:basedOn w:val="EndnoteTextChar"/>
    <w:link w:val="EndNoteBibliographyTitle"/>
    <w:rsid w:val="00F34A98"/>
    <w:rPr>
      <w:rFonts w:cs="Times New Roman"/>
      <w:noProof/>
      <w:sz w:val="20"/>
      <w:szCs w:val="20"/>
      <w:lang w:val="en-US"/>
    </w:rPr>
  </w:style>
  <w:style w:type="paragraph" w:customStyle="1" w:styleId="EndNoteBibliography">
    <w:name w:val="EndNote Bibliography"/>
    <w:basedOn w:val="Normal"/>
    <w:link w:val="EndNoteBibliographyChar"/>
    <w:rsid w:val="00F34A98"/>
    <w:pPr>
      <w:spacing w:line="240" w:lineRule="auto"/>
    </w:pPr>
    <w:rPr>
      <w:rFonts w:cs="Times New Roman"/>
      <w:noProof/>
      <w:lang w:val="en-US"/>
    </w:rPr>
  </w:style>
  <w:style w:type="character" w:customStyle="1" w:styleId="EndNoteBibliographyChar">
    <w:name w:val="EndNote Bibliography Char"/>
    <w:basedOn w:val="EndnoteTextChar"/>
    <w:link w:val="EndNoteBibliography"/>
    <w:rsid w:val="00F34A98"/>
    <w:rPr>
      <w:rFonts w:cs="Times New Roman"/>
      <w:noProof/>
      <w:sz w:val="20"/>
      <w:szCs w:val="20"/>
      <w:lang w:val="en-US"/>
    </w:rPr>
  </w:style>
  <w:style w:type="character" w:styleId="CommentReference">
    <w:name w:val="annotation reference"/>
    <w:basedOn w:val="DefaultParagraphFont"/>
    <w:semiHidden/>
    <w:unhideWhenUsed/>
    <w:rsid w:val="00A53526"/>
    <w:rPr>
      <w:sz w:val="16"/>
      <w:szCs w:val="16"/>
    </w:rPr>
  </w:style>
  <w:style w:type="paragraph" w:styleId="CommentText">
    <w:name w:val="annotation text"/>
    <w:basedOn w:val="Normal"/>
    <w:link w:val="CommentTextChar"/>
    <w:semiHidden/>
    <w:unhideWhenUsed/>
    <w:rsid w:val="00A53526"/>
    <w:pPr>
      <w:spacing w:line="240" w:lineRule="auto"/>
    </w:pPr>
    <w:rPr>
      <w:sz w:val="20"/>
      <w:szCs w:val="20"/>
    </w:rPr>
  </w:style>
  <w:style w:type="character" w:customStyle="1" w:styleId="CommentTextChar">
    <w:name w:val="Comment Text Char"/>
    <w:basedOn w:val="DefaultParagraphFont"/>
    <w:link w:val="CommentText"/>
    <w:semiHidden/>
    <w:rsid w:val="00A53526"/>
    <w:rPr>
      <w:sz w:val="20"/>
      <w:szCs w:val="20"/>
    </w:rPr>
  </w:style>
  <w:style w:type="paragraph" w:styleId="CommentSubject">
    <w:name w:val="annotation subject"/>
    <w:basedOn w:val="CommentText"/>
    <w:next w:val="CommentText"/>
    <w:link w:val="CommentSubjectChar"/>
    <w:uiPriority w:val="99"/>
    <w:semiHidden/>
    <w:unhideWhenUsed/>
    <w:rsid w:val="00A53526"/>
    <w:rPr>
      <w:b/>
      <w:bCs/>
    </w:rPr>
  </w:style>
  <w:style w:type="character" w:customStyle="1" w:styleId="CommentSubjectChar">
    <w:name w:val="Comment Subject Char"/>
    <w:basedOn w:val="CommentTextChar"/>
    <w:link w:val="CommentSubject"/>
    <w:uiPriority w:val="99"/>
    <w:semiHidden/>
    <w:rsid w:val="00A53526"/>
    <w:rPr>
      <w:b/>
      <w:bCs/>
      <w:sz w:val="20"/>
      <w:szCs w:val="20"/>
    </w:rPr>
  </w:style>
  <w:style w:type="paragraph" w:styleId="ListBullet">
    <w:name w:val="List Bullet"/>
    <w:basedOn w:val="Normal"/>
    <w:uiPriority w:val="99"/>
    <w:unhideWhenUsed/>
    <w:rsid w:val="00D13AA8"/>
    <w:pPr>
      <w:numPr>
        <w:numId w:val="3"/>
      </w:numPr>
      <w:contextualSpacing/>
    </w:pPr>
  </w:style>
  <w:style w:type="paragraph" w:customStyle="1" w:styleId="N">
    <w:name w:val="N"/>
    <w:rsid w:val="00E1700D"/>
    <w:pPr>
      <w:spacing w:before="60" w:after="60"/>
      <w:ind w:left="245" w:hanging="245"/>
      <w:jc w:val="left"/>
    </w:pPr>
    <w:rPr>
      <w:rFonts w:eastAsia="Times New Roman" w:cs="Times New Roman"/>
      <w:sz w:val="22"/>
      <w:szCs w:val="20"/>
      <w:lang w:val="en-US"/>
    </w:rPr>
  </w:style>
  <w:style w:type="paragraph" w:customStyle="1" w:styleId="EXT">
    <w:name w:val="EXT"/>
    <w:basedOn w:val="Normal"/>
    <w:rsid w:val="00E1700D"/>
    <w:pPr>
      <w:spacing w:before="60" w:after="60"/>
      <w:ind w:left="720" w:right="720"/>
    </w:pPr>
    <w:rPr>
      <w:rFonts w:eastAsia="Times New Roman" w:cs="Times New Roman"/>
      <w:lang w:val="en-US"/>
    </w:rPr>
  </w:style>
  <w:style w:type="paragraph" w:customStyle="1" w:styleId="EXT-S">
    <w:name w:val="EXT-S"/>
    <w:basedOn w:val="Normal"/>
    <w:link w:val="EXT-SChar"/>
    <w:autoRedefine/>
    <w:qFormat/>
    <w:rsid w:val="00E1700D"/>
    <w:pPr>
      <w:spacing w:before="60" w:after="120"/>
      <w:ind w:right="720"/>
      <w:jc w:val="right"/>
    </w:pPr>
    <w:rPr>
      <w:rFonts w:eastAsia="Times New Roman" w:cs="Times New Roman"/>
      <w:lang w:val="en-US"/>
    </w:rPr>
  </w:style>
  <w:style w:type="character" w:customStyle="1" w:styleId="EXT-SChar">
    <w:name w:val="EXT-S Char"/>
    <w:link w:val="EXT-S"/>
    <w:rsid w:val="00E1700D"/>
    <w:rPr>
      <w:rFonts w:eastAsia="Times New Roman" w:cs="Times New Roman"/>
      <w:lang w:val="en-US"/>
    </w:rPr>
  </w:style>
  <w:style w:type="paragraph" w:customStyle="1" w:styleId="FNClose">
    <w:name w:val="FN:Close"/>
    <w:basedOn w:val="Normal"/>
    <w:qFormat/>
    <w:rsid w:val="00E1700D"/>
    <w:pPr>
      <w:pBdr>
        <w:bottom w:val="dashSmallGap" w:sz="8" w:space="1" w:color="336699"/>
      </w:pBdr>
      <w:spacing w:before="0" w:line="400" w:lineRule="exact"/>
      <w:jc w:val="left"/>
    </w:pPr>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68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0BB5B-AB5C-4AE0-B57E-4BFFB53B1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10260</Words>
  <Characters>46996</Characters>
  <Application>Microsoft Office Word</Application>
  <DocSecurity>0</DocSecurity>
  <Lines>839</Lines>
  <Paragraphs>293</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56963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Cullity</dc:creator>
  <cp:lastModifiedBy>Garrett Cullity</cp:lastModifiedBy>
  <cp:revision>3</cp:revision>
  <cp:lastPrinted>2018-10-07T00:35:00Z</cp:lastPrinted>
  <dcterms:created xsi:type="dcterms:W3CDTF">2020-12-24T08:31:00Z</dcterms:created>
  <dcterms:modified xsi:type="dcterms:W3CDTF">2020-12-24T08:33:00Z</dcterms:modified>
</cp:coreProperties>
</file>